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BB1B026">
      <w:pPr>
        <w:jc w:val="center"/>
        <w:rPr>
          <w:sz w:val="52"/>
          <w:szCs w:val="52"/>
        </w:rPr>
      </w:pPr>
    </w:p>
    <w:p w14:paraId="51B2AC10">
      <w:pPr>
        <w:spacing w:line="0" w:lineRule="atLeast"/>
        <w:jc w:val="center"/>
        <w:rPr>
          <w:rFonts w:eastAsia="黑体"/>
          <w:sz w:val="52"/>
          <w:szCs w:val="52"/>
        </w:rPr>
      </w:pPr>
      <w:r>
        <w:rPr>
          <w:rFonts w:eastAsia="黑体"/>
          <w:sz w:val="52"/>
          <w:szCs w:val="52"/>
        </w:rPr>
        <w:t>中国渔业协会团体标准</w:t>
      </w:r>
    </w:p>
    <w:p w14:paraId="66BA9863">
      <w:pPr>
        <w:spacing w:line="0" w:lineRule="atLeast"/>
        <w:jc w:val="center"/>
        <w:rPr>
          <w:rFonts w:eastAsia="黑体"/>
          <w:sz w:val="52"/>
          <w:szCs w:val="52"/>
        </w:rPr>
      </w:pPr>
    </w:p>
    <w:p w14:paraId="0B332B0C">
      <w:pPr>
        <w:spacing w:before="312" w:beforeLines="100" w:after="312" w:afterLines="100" w:line="0" w:lineRule="atLeast"/>
        <w:jc w:val="center"/>
        <w:rPr>
          <w:rFonts w:eastAsia="黑体"/>
          <w:sz w:val="28"/>
          <w:szCs w:val="28"/>
        </w:rPr>
      </w:pPr>
      <w:r>
        <w:rPr>
          <w:rFonts w:eastAsia="黑体"/>
          <w:sz w:val="28"/>
          <w:szCs w:val="28"/>
        </w:rPr>
        <w:t>《观赏珊瑚养殖技术规范 石珊瑚》编制说明</w:t>
      </w:r>
    </w:p>
    <w:p w14:paraId="7FE65F5C">
      <w:pPr>
        <w:spacing w:line="0" w:lineRule="atLeast"/>
        <w:jc w:val="center"/>
        <w:rPr>
          <w:rFonts w:eastAsia="黑体"/>
          <w:sz w:val="28"/>
          <w:szCs w:val="28"/>
        </w:rPr>
      </w:pPr>
      <w:r>
        <w:rPr>
          <w:rFonts w:eastAsia="黑体"/>
          <w:sz w:val="28"/>
          <w:szCs w:val="28"/>
        </w:rPr>
        <w:t>（征求意见稿）</w:t>
      </w:r>
    </w:p>
    <w:p w14:paraId="3B658651">
      <w:pPr>
        <w:keepNext/>
        <w:keepLines/>
        <w:spacing w:before="280" w:after="290" w:line="0" w:lineRule="atLeast"/>
        <w:jc w:val="center"/>
        <w:outlineLvl w:val="4"/>
        <w:rPr>
          <w:rFonts w:eastAsia="黑体"/>
          <w:sz w:val="28"/>
          <w:szCs w:val="28"/>
        </w:rPr>
      </w:pPr>
      <w:r>
        <w:rPr>
          <w:rFonts w:eastAsia="黑体"/>
          <w:sz w:val="28"/>
          <w:szCs w:val="28"/>
        </w:rPr>
        <w:t>2025.08</w:t>
      </w:r>
    </w:p>
    <w:p w14:paraId="0FA5307B">
      <w:pPr>
        <w:spacing w:line="0" w:lineRule="atLeast"/>
        <w:rPr>
          <w:rFonts w:eastAsia="黑体"/>
          <w:sz w:val="28"/>
          <w:szCs w:val="28"/>
        </w:rPr>
      </w:pPr>
    </w:p>
    <w:p w14:paraId="11EF5902">
      <w:pPr>
        <w:keepNext/>
        <w:keepLines/>
        <w:spacing w:before="280" w:after="290" w:line="0" w:lineRule="atLeast"/>
        <w:outlineLvl w:val="4"/>
        <w:rPr>
          <w:rFonts w:eastAsia="黑体"/>
          <w:b/>
          <w:bCs/>
          <w:sz w:val="28"/>
          <w:szCs w:val="28"/>
        </w:rPr>
      </w:pPr>
    </w:p>
    <w:p w14:paraId="22BB4670">
      <w:pPr>
        <w:spacing w:line="0" w:lineRule="atLeast"/>
        <w:rPr>
          <w:rFonts w:eastAsia="黑体"/>
          <w:sz w:val="28"/>
          <w:szCs w:val="28"/>
        </w:rPr>
      </w:pPr>
    </w:p>
    <w:p w14:paraId="554BEF50">
      <w:pPr>
        <w:keepNext/>
        <w:keepLines/>
        <w:spacing w:before="280" w:after="290" w:line="0" w:lineRule="atLeast"/>
        <w:outlineLvl w:val="4"/>
        <w:rPr>
          <w:rFonts w:eastAsia="黑体"/>
          <w:b/>
          <w:bCs/>
          <w:sz w:val="28"/>
          <w:szCs w:val="28"/>
        </w:rPr>
      </w:pPr>
    </w:p>
    <w:p w14:paraId="54DD0308">
      <w:pPr>
        <w:keepNext/>
        <w:keepLines/>
        <w:spacing w:before="280" w:after="290" w:line="0" w:lineRule="atLeast"/>
        <w:outlineLvl w:val="4"/>
        <w:rPr>
          <w:b/>
          <w:bCs/>
          <w:sz w:val="28"/>
          <w:szCs w:val="28"/>
        </w:rPr>
      </w:pPr>
    </w:p>
    <w:p w14:paraId="4630437B">
      <w:pPr>
        <w:spacing w:line="0" w:lineRule="atLeast"/>
        <w:rPr>
          <w:rFonts w:eastAsia="黑体"/>
          <w:sz w:val="28"/>
          <w:szCs w:val="28"/>
        </w:rPr>
      </w:pPr>
    </w:p>
    <w:p w14:paraId="30FFD91C">
      <w:pPr>
        <w:widowControl/>
        <w:jc w:val="center"/>
        <w:rPr>
          <w:rFonts w:eastAsia="黑体"/>
          <w:sz w:val="28"/>
          <w:szCs w:val="28"/>
        </w:rPr>
      </w:pPr>
      <w:r>
        <w:rPr>
          <w:rFonts w:eastAsia="黑体"/>
          <w:sz w:val="28"/>
          <w:szCs w:val="28"/>
        </w:rPr>
        <w:t>中国渔业协会海洋观赏生物分会</w:t>
      </w:r>
    </w:p>
    <w:p w14:paraId="761CEBA5">
      <w:pPr>
        <w:widowControl/>
        <w:jc w:val="center"/>
        <w:rPr>
          <w:rFonts w:eastAsia="黑体"/>
          <w:sz w:val="28"/>
          <w:szCs w:val="28"/>
        </w:rPr>
      </w:pPr>
      <w:r>
        <w:rPr>
          <w:rFonts w:eastAsia="黑体"/>
          <w:sz w:val="28"/>
          <w:szCs w:val="28"/>
        </w:rPr>
        <w:t>海南省海洋与渔业科学院</w:t>
      </w:r>
    </w:p>
    <w:p w14:paraId="7B7BB1C1">
      <w:pPr>
        <w:widowControl/>
        <w:jc w:val="center"/>
        <w:rPr>
          <w:rFonts w:eastAsia="黑体"/>
          <w:sz w:val="28"/>
          <w:szCs w:val="28"/>
        </w:rPr>
      </w:pPr>
      <w:r>
        <w:rPr>
          <w:rFonts w:eastAsia="黑体"/>
          <w:sz w:val="28"/>
          <w:szCs w:val="28"/>
        </w:rPr>
        <w:t>中国渔业协会水族造景分会</w:t>
      </w:r>
    </w:p>
    <w:p w14:paraId="0DCD0B58">
      <w:pPr>
        <w:widowControl/>
        <w:jc w:val="center"/>
        <w:rPr>
          <w:rFonts w:eastAsia="黑体"/>
          <w:sz w:val="28"/>
          <w:szCs w:val="28"/>
        </w:rPr>
      </w:pPr>
      <w:r>
        <w:rPr>
          <w:rFonts w:eastAsia="黑体"/>
          <w:sz w:val="28"/>
          <w:szCs w:val="28"/>
        </w:rPr>
        <w:t>中国科学院南海海洋研究所</w:t>
      </w:r>
    </w:p>
    <w:p w14:paraId="533E655A">
      <w:pPr>
        <w:widowControl/>
        <w:jc w:val="center"/>
        <w:rPr>
          <w:rFonts w:eastAsia="黑体"/>
          <w:sz w:val="28"/>
          <w:szCs w:val="28"/>
        </w:rPr>
      </w:pPr>
      <w:r>
        <w:rPr>
          <w:rFonts w:eastAsia="黑体"/>
          <w:sz w:val="28"/>
          <w:szCs w:val="28"/>
        </w:rPr>
        <w:t>中国水产科学研究院黄海研究所</w:t>
      </w:r>
    </w:p>
    <w:p w14:paraId="4E29293B">
      <w:pPr>
        <w:widowControl/>
        <w:jc w:val="center"/>
        <w:rPr>
          <w:rFonts w:eastAsia="黑体"/>
          <w:sz w:val="28"/>
          <w:szCs w:val="28"/>
        </w:rPr>
      </w:pPr>
      <w:r>
        <w:rPr>
          <w:rFonts w:eastAsia="黑体"/>
          <w:sz w:val="28"/>
          <w:szCs w:val="28"/>
        </w:rPr>
        <w:t>海南大学</w:t>
      </w:r>
    </w:p>
    <w:p w14:paraId="1533C877">
      <w:pPr>
        <w:widowControl/>
        <w:jc w:val="center"/>
        <w:rPr>
          <w:rFonts w:eastAsia="黑体"/>
          <w:sz w:val="28"/>
          <w:szCs w:val="28"/>
        </w:rPr>
      </w:pPr>
      <w:r>
        <w:rPr>
          <w:rFonts w:eastAsia="黑体"/>
          <w:sz w:val="28"/>
          <w:szCs w:val="28"/>
        </w:rPr>
        <w:t>北京漫步环艺设计规划有限公司</w:t>
      </w:r>
    </w:p>
    <w:p w14:paraId="383CA45E">
      <w:pPr>
        <w:widowControl/>
        <w:jc w:val="center"/>
        <w:rPr>
          <w:rFonts w:eastAsia="黑体"/>
          <w:sz w:val="28"/>
          <w:szCs w:val="28"/>
        </w:rPr>
      </w:pPr>
      <w:r>
        <w:rPr>
          <w:rFonts w:eastAsia="黑体"/>
          <w:sz w:val="28"/>
          <w:szCs w:val="28"/>
        </w:rPr>
        <w:t>广东蓝海海洋科技有限公司</w:t>
      </w:r>
    </w:p>
    <w:p w14:paraId="58FC8F06">
      <w:pPr>
        <w:widowControl/>
        <w:jc w:val="center"/>
        <w:rPr>
          <w:rFonts w:eastAsia="黑体"/>
          <w:sz w:val="28"/>
          <w:szCs w:val="28"/>
        </w:rPr>
      </w:pPr>
    </w:p>
    <w:p w14:paraId="762DAF9B">
      <w:pPr>
        <w:widowControl/>
        <w:jc w:val="center"/>
        <w:rPr>
          <w:rFonts w:eastAsia="黑体"/>
          <w:sz w:val="28"/>
          <w:szCs w:val="28"/>
        </w:rPr>
      </w:pPr>
    </w:p>
    <w:p w14:paraId="13B1A81C">
      <w:pPr>
        <w:jc w:val="center"/>
        <w:rPr>
          <w:rFonts w:eastAsia="仿宋"/>
          <w:b/>
          <w:bCs/>
          <w:sz w:val="36"/>
          <w:szCs w:val="36"/>
        </w:rPr>
      </w:pPr>
      <w:r>
        <w:rPr>
          <w:rFonts w:eastAsia="仿宋"/>
          <w:b/>
          <w:bCs/>
          <w:sz w:val="36"/>
          <w:szCs w:val="36"/>
        </w:rPr>
        <w:t>《观赏珊瑚养殖技术规范 石珊瑚》编制说明</w:t>
      </w:r>
    </w:p>
    <w:p w14:paraId="6401E8E2">
      <w:pPr>
        <w:rPr>
          <w:rFonts w:eastAsia="仿宋"/>
          <w:b/>
          <w:bCs/>
          <w:sz w:val="28"/>
          <w:szCs w:val="28"/>
        </w:rPr>
      </w:pPr>
      <w:r>
        <w:rPr>
          <w:rFonts w:eastAsia="仿宋"/>
          <w:b/>
          <w:bCs/>
          <w:sz w:val="28"/>
          <w:szCs w:val="28"/>
        </w:rPr>
        <w:t>一、工作简况，包括任务来源、制定背景、起草过程等。</w:t>
      </w:r>
    </w:p>
    <w:p w14:paraId="0B22B466">
      <w:pPr>
        <w:rPr>
          <w:rFonts w:eastAsia="仿宋"/>
          <w:b/>
          <w:bCs/>
          <w:sz w:val="28"/>
          <w:szCs w:val="28"/>
        </w:rPr>
      </w:pPr>
      <w:r>
        <w:rPr>
          <w:rFonts w:eastAsia="仿宋"/>
          <w:b/>
          <w:bCs/>
          <w:sz w:val="28"/>
          <w:szCs w:val="28"/>
        </w:rPr>
        <w:t>（一）任务来源</w:t>
      </w:r>
    </w:p>
    <w:p w14:paraId="0E053B8A">
      <w:pPr>
        <w:ind w:firstLine="560" w:firstLineChars="200"/>
        <w:rPr>
          <w:rFonts w:eastAsia="仿宋"/>
          <w:sz w:val="28"/>
          <w:szCs w:val="28"/>
        </w:rPr>
      </w:pPr>
      <w:r>
        <w:rPr>
          <w:rFonts w:eastAsia="仿宋"/>
          <w:sz w:val="28"/>
          <w:szCs w:val="28"/>
        </w:rPr>
        <w:t>依据国家标准化管理委员会和民政部颁布的《团体标准管理规定》，以及《中国渔业协会团体标准管理办法》中的相关条款，经评审专家组严格审查，中国渔业协会标准化技术委员会常务委员会批准，《观赏珊瑚养殖技术规范 石珊瑚》团体标准正式立项。该标准由中国渔业协会海洋观赏生物分会和海南省海洋与渔业科学院牵头起草，旨在为观赏石珊瑚养殖领域构建一套科学、系统且具实操性的技术规范体系。本标准的建立有利于避免不合理、不规范以及不成熟的养殖方式，规避水族养殖常见的不利风险，有助于提高石珊瑚水族养殖的成活率和生长率。形成的标准对于石珊瑚科研工作者、珊瑚礁修复工作者和石珊瑚养殖爱好者均具有重要技术指导作用，推动观赏珊瑚养殖产业朝着标准化、可持续方向发展，以满足市场对观赏石珊瑚的需求，同时保护海洋生态环境。</w:t>
      </w:r>
    </w:p>
    <w:p w14:paraId="40049E27">
      <w:pPr>
        <w:numPr>
          <w:ilvl w:val="0"/>
          <w:numId w:val="6"/>
        </w:numPr>
        <w:rPr>
          <w:rFonts w:eastAsia="仿宋"/>
          <w:b/>
          <w:bCs/>
          <w:sz w:val="28"/>
          <w:szCs w:val="28"/>
        </w:rPr>
      </w:pPr>
      <w:r>
        <w:rPr>
          <w:rFonts w:eastAsia="仿宋"/>
          <w:b/>
          <w:bCs/>
          <w:sz w:val="28"/>
          <w:szCs w:val="28"/>
        </w:rPr>
        <w:t>制定背景</w:t>
      </w:r>
    </w:p>
    <w:p w14:paraId="40AEE694">
      <w:pPr>
        <w:ind w:firstLine="560" w:firstLineChars="200"/>
        <w:rPr>
          <w:rFonts w:eastAsia="仿宋"/>
          <w:sz w:val="28"/>
          <w:szCs w:val="28"/>
        </w:rPr>
      </w:pPr>
      <w:r>
        <w:rPr>
          <w:rFonts w:eastAsia="仿宋"/>
          <w:sz w:val="28"/>
          <w:szCs w:val="28"/>
        </w:rPr>
        <w:t>观赏石珊瑚因其绚丽多彩的外观和独特的生态魅力，在水族市场、海洋馆展示及科普教育领域备受青睐，市场需求持续攀升。据中国渔业协会统计，近五年国内观赏石珊瑚市场规模年增长率达 15%，家庭水族箱中石珊瑚普及率从 10% 提升至 30%，海洋馆对大型石珊瑚景观需求年均增长 20%。然而，当前观赏石珊瑚养殖行业发展乱象丛生，面临诸多严峻问题。​</w:t>
      </w:r>
    </w:p>
    <w:p w14:paraId="17755947">
      <w:pPr>
        <w:ind w:firstLine="560" w:firstLineChars="200"/>
        <w:rPr>
          <w:rFonts w:eastAsia="仿宋"/>
          <w:sz w:val="28"/>
          <w:szCs w:val="28"/>
        </w:rPr>
      </w:pPr>
      <w:r>
        <w:rPr>
          <w:rFonts w:eastAsia="仿宋"/>
          <w:sz w:val="28"/>
          <w:szCs w:val="28"/>
        </w:rPr>
        <w:t>在技术层面，行业内养殖技术缺乏统一规范，参差不齐。部分从业者盲目照搬国外经验，未充分考虑国内环境、气候等差异，导致养殖失败。例如，北方地区水质偏硬、水温季节性波动大，若采用热带地区的养殖参数，石珊瑚易出现生长缓慢、白化甚至死亡现象。有数据显示，因技术不规范，约 40% 的家庭水族养殖在半年内出现石珊瑚大量死亡，养殖失败率居高不下。同时，水质调控技术落后，多数小型养殖场缺乏精准的水质监测设备，无法及时调整盐度、酸碱度、溶解氧等关键指标。据调研，约 70% 的小型养殖场所水质指标波动超过适宜范围 ±10%，严重影响石珊瑚生存。此外，病害防治手段有限，面对日益频发的珊瑚黑带病、白化病等，缺乏针对性防治标准，致使病害传播迅速，约 30% 的规模化养殖场每年因病害损失超过 20% 的养殖产量。​</w:t>
      </w:r>
    </w:p>
    <w:p w14:paraId="1EABC78E">
      <w:pPr>
        <w:ind w:firstLine="560" w:firstLineChars="200"/>
        <w:rPr>
          <w:rFonts w:eastAsia="仿宋"/>
          <w:sz w:val="28"/>
          <w:szCs w:val="28"/>
        </w:rPr>
      </w:pPr>
      <w:r>
        <w:rPr>
          <w:rFonts w:eastAsia="仿宋"/>
          <w:sz w:val="28"/>
          <w:szCs w:val="28"/>
        </w:rPr>
        <w:t>从生态角度看，无序养殖对海洋生态环境造成极大破坏。部分非法从业者为获取苗种，过度采捕野生石珊瑚，严重威胁海洋生物多样性。据编制组成员监测，过去十年，南海海域野生石珊瑚覆盖率因非法采捕下降了 20% - 30%。而在养殖过程中，大量未处理的养殖废水直接排放，富含氮、磷等营养物质，导致海水富营养化等生态灾害，破坏石珊瑚原生栖息地。​</w:t>
      </w:r>
    </w:p>
    <w:p w14:paraId="26D8A079">
      <w:pPr>
        <w:ind w:firstLine="560" w:firstLineChars="200"/>
        <w:rPr>
          <w:rFonts w:eastAsia="仿宋"/>
          <w:sz w:val="28"/>
          <w:szCs w:val="28"/>
        </w:rPr>
      </w:pPr>
      <w:r>
        <w:rPr>
          <w:rFonts w:eastAsia="仿宋"/>
          <w:sz w:val="28"/>
          <w:szCs w:val="28"/>
        </w:rPr>
        <w:t>在法律法规遵循方面，由于缺乏明确标准指引，部分养殖行为游走在法律边缘。许多从业者对《中华人民共和国野生动物保护法》及《濒危野生动植物种国际贸易公约》（CITES）相关规定了解不足，在苗种进出口、运输等环节存在违规操作。以 CITES 附录 Ⅱ 中的石珊瑚物种为例，约 25% 的小型水族店无法提供合法来源证明，增加了法律风险。​</w:t>
      </w:r>
    </w:p>
    <w:p w14:paraId="50F33FB9">
      <w:pPr>
        <w:ind w:firstLine="560" w:firstLineChars="200"/>
        <w:rPr>
          <w:rFonts w:eastAsia="仿宋"/>
          <w:sz w:val="28"/>
          <w:szCs w:val="28"/>
        </w:rPr>
      </w:pPr>
      <w:r>
        <w:rPr>
          <w:rFonts w:eastAsia="仿宋"/>
          <w:sz w:val="28"/>
          <w:szCs w:val="28"/>
        </w:rPr>
        <w:t>综上，制定《观赏珊瑚养殖技术规范 石珊瑚》团体标准迫在眉睫，通过规范养殖全流程，提高行业技术水平，降低养殖风险，减少对野生资源依赖，促进观赏石珊瑚养殖产业向绿色、可持续、合法合规方向发展，实现产业经济效益与生态保护双赢。​</w:t>
      </w:r>
    </w:p>
    <w:p w14:paraId="662C92B0">
      <w:pPr>
        <w:numPr>
          <w:ilvl w:val="0"/>
          <w:numId w:val="6"/>
        </w:numPr>
        <w:rPr>
          <w:rFonts w:eastAsia="仿宋"/>
          <w:b/>
          <w:bCs/>
          <w:sz w:val="28"/>
          <w:szCs w:val="28"/>
        </w:rPr>
      </w:pPr>
      <w:r>
        <w:rPr>
          <w:rFonts w:eastAsia="仿宋"/>
          <w:b/>
          <w:bCs/>
          <w:sz w:val="28"/>
          <w:szCs w:val="28"/>
        </w:rPr>
        <w:t>协作单位</w:t>
      </w:r>
    </w:p>
    <w:p w14:paraId="0A7402A3">
      <w:pPr>
        <w:ind w:firstLine="560" w:firstLineChars="200"/>
        <w:rPr>
          <w:rFonts w:eastAsia="仿宋"/>
          <w:sz w:val="28"/>
          <w:szCs w:val="28"/>
        </w:rPr>
      </w:pPr>
      <w:r>
        <w:rPr>
          <w:rFonts w:eastAsia="仿宋"/>
          <w:sz w:val="28"/>
          <w:szCs w:val="28"/>
        </w:rPr>
        <w:t>中国渔业协会海洋观赏生物分会联合相关企业以及科研院所等单位，专门成立了起草小组。中国渔业协会海洋观赏生物分会承担整个标准的总体设计和标准编制的具体工作，在总结中国渔业协会海洋观赏生物分会及标准起草单位相关观赏珊瑚养殖技术规范 石珊瑚相关研究基础上，进一步总结、提炼和确定了观赏石珊瑚养殖技术规范的基本原则、养殖条件、养殖方法、维护管理和记录保存等内容。</w:t>
      </w:r>
    </w:p>
    <w:p w14:paraId="4777DD68">
      <w:pPr>
        <w:ind w:firstLine="560" w:firstLineChars="200"/>
        <w:rPr>
          <w:rFonts w:eastAsia="仿宋"/>
          <w:sz w:val="28"/>
          <w:szCs w:val="28"/>
        </w:rPr>
      </w:pPr>
      <w:r>
        <w:rPr>
          <w:rFonts w:eastAsia="仿宋"/>
          <w:sz w:val="28"/>
          <w:szCs w:val="28"/>
        </w:rPr>
        <w:t>海南省海洋与渔业科学院，中国渔业协会水族造景分会，广东蓝海海洋科技有限公司，北京漫步环艺设计规划有限公司作为标准起草的主要协作单位，在标准起草过程中，充分发挥了企业在石珊瑚养殖技术中的带动作用和技术支撑作用。各协作单位和编制组成员积极参与讨论完善行业标准，勇于承担促进行业健康发展的责任；另外，作为标准起草协作单位，要求企业本身必须具有规范的石珊瑚水族养殖的经验，能够充分理解标准制定的意义并能够示范性执行；在标准制定过程中，能够对标准的相关参数进行验证性工作或提出建设性的意见。</w:t>
      </w:r>
    </w:p>
    <w:p w14:paraId="37B0CFB1">
      <w:pPr>
        <w:ind w:firstLine="560" w:firstLineChars="200"/>
        <w:rPr>
          <w:rFonts w:eastAsia="仿宋"/>
          <w:sz w:val="28"/>
          <w:szCs w:val="28"/>
        </w:rPr>
      </w:pPr>
      <w:r>
        <w:rPr>
          <w:rFonts w:eastAsia="仿宋"/>
          <w:sz w:val="28"/>
          <w:szCs w:val="28"/>
        </w:rPr>
        <w:t>参与标准的其他相关专家，主要协助标准牵头单位审核和确定观赏珊瑚养殖技术规范 石珊瑚标准的基本原则、技术内容和配套设施等的科学性和可操作性。</w:t>
      </w:r>
    </w:p>
    <w:p w14:paraId="79658074">
      <w:pPr>
        <w:numPr>
          <w:ilvl w:val="0"/>
          <w:numId w:val="6"/>
        </w:numPr>
        <w:rPr>
          <w:rFonts w:eastAsia="仿宋"/>
          <w:b/>
          <w:bCs/>
          <w:sz w:val="28"/>
          <w:szCs w:val="28"/>
        </w:rPr>
      </w:pPr>
      <w:r>
        <w:rPr>
          <w:rFonts w:eastAsia="仿宋"/>
          <w:b/>
          <w:bCs/>
          <w:sz w:val="28"/>
          <w:szCs w:val="28"/>
        </w:rPr>
        <w:t>主要工作过程</w:t>
      </w:r>
    </w:p>
    <w:p w14:paraId="5BC0FF79">
      <w:pPr>
        <w:ind w:firstLine="562" w:firstLineChars="200"/>
        <w:rPr>
          <w:rFonts w:eastAsia="仿宋"/>
          <w:b/>
          <w:bCs/>
          <w:sz w:val="28"/>
          <w:szCs w:val="28"/>
        </w:rPr>
      </w:pPr>
      <w:r>
        <w:rPr>
          <w:rFonts w:eastAsia="仿宋"/>
          <w:b/>
          <w:bCs/>
          <w:sz w:val="28"/>
          <w:szCs w:val="28"/>
        </w:rPr>
        <w:t>1.起草阶段（2024年3月-2025年8月）</w:t>
      </w:r>
    </w:p>
    <w:p w14:paraId="4BA8EBEC">
      <w:pPr>
        <w:ind w:firstLine="560" w:firstLineChars="200"/>
        <w:rPr>
          <w:rFonts w:eastAsia="仿宋"/>
          <w:sz w:val="28"/>
          <w:szCs w:val="28"/>
        </w:rPr>
      </w:pPr>
      <w:r>
        <w:rPr>
          <w:rFonts w:eastAsia="仿宋"/>
          <w:sz w:val="28"/>
          <w:szCs w:val="28"/>
        </w:rPr>
        <w:t>起草组通过文献检索（覆盖国内外石珊瑚养殖技术文献）、实地调研（走访广东、海南、福建等地）、行业座谈（邀请行业专家参与），系统梳理行业痛点。发现石珊瑚养殖技术层面存在设备配置混乱、水质参数无统一标准、投喂方式盲目等现象；法规层面，多数中小型企业对 CITES 公约及国内水生野生动物管理规定理解不透彻，存在苗种来源合规性风险；管理层面则普遍存在记录保存不规范、溯源难度大等问题。</w:t>
      </w:r>
    </w:p>
    <w:p w14:paraId="57F7FEC5">
      <w:pPr>
        <w:ind w:firstLine="560" w:firstLineChars="200"/>
        <w:rPr>
          <w:rFonts w:eastAsia="仿宋"/>
          <w:sz w:val="28"/>
          <w:szCs w:val="28"/>
        </w:rPr>
      </w:pPr>
      <w:r>
        <w:rPr>
          <w:rFonts w:eastAsia="仿宋"/>
          <w:sz w:val="28"/>
          <w:szCs w:val="28"/>
        </w:rPr>
        <w:t>结合 GB/T 1.1—2020《标准化工作导则》要求，确定标准核心章节为范围、规范性引用文件、术语和定义、基本原则、养殖条件、养殖方法、维护管理、记录保存，明确各章节重点方向。其中，养殖条件突出设施设备合规性和功能分区，养殖方法区分苗种合法来源与投放要求，维护管理细化水质指标、设备维护频率及病害处置步骤。经内部研讨修改，形成《观赏珊瑚养殖技术规范 石珊瑚规范（草稿）》。</w:t>
      </w:r>
    </w:p>
    <w:p w14:paraId="2C42BB92">
      <w:pPr>
        <w:ind w:firstLine="562" w:firstLineChars="200"/>
        <w:rPr>
          <w:rFonts w:eastAsia="仿宋"/>
          <w:b/>
          <w:bCs/>
          <w:sz w:val="28"/>
          <w:szCs w:val="28"/>
        </w:rPr>
      </w:pPr>
      <w:r>
        <w:rPr>
          <w:rFonts w:eastAsia="仿宋"/>
          <w:b/>
          <w:bCs/>
          <w:sz w:val="28"/>
          <w:szCs w:val="28"/>
        </w:rPr>
        <w:t>2.确立协作单位，在行业内对标准初稿广泛征求意见和讨论</w:t>
      </w:r>
    </w:p>
    <w:p w14:paraId="5A6C09EF">
      <w:pPr>
        <w:ind w:firstLine="560" w:firstLineChars="200"/>
        <w:rPr>
          <w:rFonts w:eastAsia="仿宋"/>
          <w:sz w:val="28"/>
          <w:szCs w:val="28"/>
        </w:rPr>
      </w:pPr>
      <w:r>
        <w:rPr>
          <w:rFonts w:eastAsia="仿宋"/>
          <w:sz w:val="28"/>
          <w:szCs w:val="28"/>
        </w:rPr>
        <w:t>基于覆盖产业链各环节、兼顾地域代表性的原则，确定海南大学、中国渔业协会水族造景分会、广东蓝海海洋科技有限公司、北京漫步环艺设计规划有限公司等8家协作单位，包括科研机构、行业协会及企业，分别负责技术参数科学性把关、对接终端养殖者需求、提供实操经验。召开启动会明确分工后，采用定向函审与公开征求意见相结合的方式收集反馈。形成《观赏珊瑚养殖技术规范 石珊瑚（征求意见稿）》，以函件、现场等方式向相关行业单位及专家发送函审稿，并通过中国渔业协会官网、行业期刊发布公开征求意见通知，对征求到的意见采纳后进行汇总、整理，进一步完善。</w:t>
      </w:r>
    </w:p>
    <w:p w14:paraId="2646DB32">
      <w:pPr>
        <w:ind w:firstLine="562" w:firstLineChars="200"/>
        <w:rPr>
          <w:rFonts w:eastAsia="仿宋"/>
          <w:b/>
          <w:bCs/>
          <w:sz w:val="28"/>
          <w:szCs w:val="28"/>
        </w:rPr>
      </w:pPr>
      <w:r>
        <w:rPr>
          <w:rFonts w:eastAsia="仿宋"/>
          <w:b/>
          <w:bCs/>
          <w:sz w:val="28"/>
          <w:szCs w:val="28"/>
        </w:rPr>
        <w:t>3.参数验证</w:t>
      </w:r>
    </w:p>
    <w:p w14:paraId="3E17790F">
      <w:pPr>
        <w:ind w:firstLine="560" w:firstLineChars="200"/>
        <w:rPr>
          <w:rFonts w:eastAsia="仿宋"/>
          <w:sz w:val="28"/>
          <w:szCs w:val="28"/>
        </w:rPr>
      </w:pPr>
      <w:r>
        <w:rPr>
          <w:rFonts w:eastAsia="仿宋"/>
          <w:sz w:val="28"/>
          <w:szCs w:val="28"/>
        </w:rPr>
        <w:t>本文件的基本参数，是综合多年来石珊瑚水族养殖、销售企业的数据，以及主持和参与单位发表的相关论文数据的基础上形成的石珊瑚水族养殖基本技术标准。并且多次深入企业一线与资深养殖户进行现场采样与交流，并通过微信、电话等方式进行了多次沟通，以确保所制定的标准参数是科学的、实用的和可靠的。</w:t>
      </w:r>
    </w:p>
    <w:p w14:paraId="50A3D2FD">
      <w:pPr>
        <w:numPr>
          <w:ilvl w:val="0"/>
          <w:numId w:val="6"/>
        </w:numPr>
        <w:rPr>
          <w:rFonts w:eastAsia="仿宋"/>
          <w:b/>
          <w:bCs/>
          <w:sz w:val="28"/>
          <w:szCs w:val="28"/>
        </w:rPr>
      </w:pPr>
      <w:r>
        <w:rPr>
          <w:rFonts w:eastAsia="仿宋"/>
          <w:b/>
          <w:bCs/>
          <w:sz w:val="28"/>
          <w:szCs w:val="28"/>
        </w:rPr>
        <w:t>标准起草单位、人员及任务分工</w:t>
      </w:r>
    </w:p>
    <w:p w14:paraId="3A0B0A61">
      <w:pPr>
        <w:ind w:firstLine="560" w:firstLineChars="200"/>
        <w:rPr>
          <w:rFonts w:eastAsia="仿宋"/>
          <w:sz w:val="28"/>
          <w:szCs w:val="28"/>
        </w:rPr>
      </w:pPr>
      <w:r>
        <w:rPr>
          <w:rFonts w:eastAsia="仿宋"/>
          <w:sz w:val="28"/>
          <w:szCs w:val="28"/>
        </w:rPr>
        <w:t>本文件起草单位：中国渔业协会海洋观赏生物分会、海南省海洋与渔业科学院、中国渔业协会水族造景分会、中国科学院南海海洋研究所、中国水产科学研究院黄海研究所、海南大学、广东蓝海海洋科技有限公司和北京漫步环艺设计规划有限公司。</w:t>
      </w:r>
    </w:p>
    <w:p w14:paraId="630AA134">
      <w:pPr>
        <w:ind w:firstLine="560" w:firstLineChars="200"/>
        <w:jc w:val="left"/>
        <w:rPr>
          <w:rFonts w:eastAsia="仿宋"/>
          <w:sz w:val="28"/>
          <w:szCs w:val="28"/>
        </w:rPr>
      </w:pPr>
      <w:r>
        <w:rPr>
          <w:rFonts w:eastAsia="仿宋"/>
          <w:sz w:val="28"/>
          <w:szCs w:val="28"/>
        </w:rPr>
        <w:t>本文件主要参与单位及任务分工：</w:t>
      </w:r>
    </w:p>
    <w:tbl>
      <w:tblPr>
        <w:tblStyle w:val="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318"/>
        <w:gridCol w:w="5272"/>
      </w:tblGrid>
      <w:tr w14:paraId="55108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2318" w:type="dxa"/>
            <w:shd w:val="clear" w:color="auto" w:fill="auto"/>
          </w:tcPr>
          <w:p w14:paraId="581E59AE">
            <w:pPr>
              <w:pStyle w:val="3"/>
              <w:adjustRightInd w:val="0"/>
              <w:snapToGrid w:val="0"/>
              <w:jc w:val="center"/>
              <w:rPr>
                <w:rFonts w:ascii="Times New Roman" w:hAnsi="Times New Roman"/>
                <w:szCs w:val="21"/>
              </w:rPr>
            </w:pPr>
            <w:r>
              <w:rPr>
                <w:rFonts w:ascii="Times New Roman" w:hAnsi="Times New Roman"/>
                <w:szCs w:val="21"/>
              </w:rPr>
              <w:t>参与单位</w:t>
            </w:r>
          </w:p>
        </w:tc>
        <w:tc>
          <w:tcPr>
            <w:tcW w:w="0" w:type="auto"/>
            <w:shd w:val="clear" w:color="auto" w:fill="auto"/>
          </w:tcPr>
          <w:p w14:paraId="604FB5DE">
            <w:pPr>
              <w:pStyle w:val="3"/>
              <w:adjustRightInd w:val="0"/>
              <w:snapToGrid w:val="0"/>
              <w:jc w:val="center"/>
              <w:rPr>
                <w:rFonts w:ascii="Times New Roman" w:hAnsi="Times New Roman"/>
                <w:szCs w:val="21"/>
              </w:rPr>
            </w:pPr>
            <w:r>
              <w:rPr>
                <w:rFonts w:ascii="Times New Roman" w:hAnsi="Times New Roman"/>
                <w:szCs w:val="21"/>
              </w:rPr>
              <w:t>本文件中的作用</w:t>
            </w:r>
          </w:p>
        </w:tc>
      </w:tr>
      <w:tr w14:paraId="0EEE40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2318" w:type="dxa"/>
            <w:shd w:val="clear" w:color="auto" w:fill="auto"/>
          </w:tcPr>
          <w:p w14:paraId="4D86C68B">
            <w:pPr>
              <w:pStyle w:val="3"/>
              <w:adjustRightInd w:val="0"/>
              <w:snapToGrid w:val="0"/>
              <w:rPr>
                <w:rFonts w:ascii="Times New Roman" w:hAnsi="Times New Roman"/>
                <w:szCs w:val="21"/>
              </w:rPr>
            </w:pPr>
            <w:r>
              <w:rPr>
                <w:rFonts w:ascii="Times New Roman" w:hAnsi="Times New Roman"/>
                <w:szCs w:val="21"/>
              </w:rPr>
              <w:t>中国渔业协会海洋观赏生物分会，海南省海洋与渔业科学院</w:t>
            </w:r>
          </w:p>
        </w:tc>
        <w:tc>
          <w:tcPr>
            <w:tcW w:w="0" w:type="auto"/>
            <w:shd w:val="clear" w:color="auto" w:fill="auto"/>
          </w:tcPr>
          <w:p w14:paraId="5039CA66">
            <w:pPr>
              <w:pStyle w:val="3"/>
              <w:adjustRightInd w:val="0"/>
              <w:snapToGrid w:val="0"/>
              <w:rPr>
                <w:rFonts w:ascii="Times New Roman" w:hAnsi="Times New Roman"/>
                <w:szCs w:val="21"/>
              </w:rPr>
            </w:pPr>
            <w:r>
              <w:rPr>
                <w:rFonts w:ascii="Times New Roman" w:hAnsi="Times New Roman"/>
                <w:szCs w:val="21"/>
              </w:rPr>
              <w:t>负责观赏珊瑚养殖技术规范 石珊瑚标准的大纲编制，负责标准技术参数校稿</w:t>
            </w:r>
          </w:p>
        </w:tc>
      </w:tr>
      <w:tr w14:paraId="47568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2318" w:type="dxa"/>
            <w:shd w:val="clear" w:color="auto" w:fill="auto"/>
          </w:tcPr>
          <w:p w14:paraId="54DE332E">
            <w:pPr>
              <w:pStyle w:val="3"/>
              <w:adjustRightInd w:val="0"/>
              <w:snapToGrid w:val="0"/>
              <w:rPr>
                <w:rFonts w:ascii="Times New Roman" w:hAnsi="Times New Roman"/>
                <w:szCs w:val="21"/>
              </w:rPr>
            </w:pPr>
            <w:r>
              <w:rPr>
                <w:rFonts w:ascii="Times New Roman" w:hAnsi="Times New Roman"/>
                <w:szCs w:val="21"/>
              </w:rPr>
              <w:t>中国渔业协会海洋观赏生物分会</w:t>
            </w:r>
          </w:p>
        </w:tc>
        <w:tc>
          <w:tcPr>
            <w:tcW w:w="0" w:type="auto"/>
            <w:shd w:val="clear" w:color="auto" w:fill="auto"/>
          </w:tcPr>
          <w:p w14:paraId="7761E9F8">
            <w:pPr>
              <w:pStyle w:val="3"/>
              <w:adjustRightInd w:val="0"/>
              <w:snapToGrid w:val="0"/>
              <w:rPr>
                <w:rFonts w:ascii="Times New Roman" w:hAnsi="Times New Roman"/>
                <w:szCs w:val="21"/>
              </w:rPr>
            </w:pPr>
            <w:r>
              <w:rPr>
                <w:rFonts w:ascii="Times New Roman" w:hAnsi="Times New Roman"/>
                <w:szCs w:val="21"/>
              </w:rPr>
              <w:t>制定标准研究方案，统筹标准的验证和标准文本的起草</w:t>
            </w:r>
          </w:p>
        </w:tc>
      </w:tr>
      <w:tr w14:paraId="39DBAE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2318" w:type="dxa"/>
            <w:shd w:val="clear" w:color="auto" w:fill="auto"/>
          </w:tcPr>
          <w:p w14:paraId="41718D5A">
            <w:pPr>
              <w:pStyle w:val="3"/>
              <w:adjustRightInd w:val="0"/>
              <w:snapToGrid w:val="0"/>
              <w:rPr>
                <w:rFonts w:ascii="Times New Roman" w:hAnsi="Times New Roman"/>
                <w:szCs w:val="21"/>
              </w:rPr>
            </w:pPr>
            <w:r>
              <w:rPr>
                <w:rFonts w:ascii="Times New Roman" w:hAnsi="Times New Roman"/>
                <w:szCs w:val="21"/>
              </w:rPr>
              <w:t>中国渔业协会海洋观赏生物分会，中国渔业协会水族造景分会</w:t>
            </w:r>
          </w:p>
        </w:tc>
        <w:tc>
          <w:tcPr>
            <w:tcW w:w="0" w:type="auto"/>
            <w:shd w:val="clear" w:color="auto" w:fill="auto"/>
          </w:tcPr>
          <w:p w14:paraId="51D6FE92">
            <w:pPr>
              <w:pStyle w:val="3"/>
              <w:adjustRightInd w:val="0"/>
              <w:snapToGrid w:val="0"/>
              <w:rPr>
                <w:rFonts w:ascii="Times New Roman" w:hAnsi="Times New Roman"/>
                <w:szCs w:val="21"/>
              </w:rPr>
            </w:pPr>
            <w:r>
              <w:rPr>
                <w:rFonts w:ascii="Times New Roman" w:hAnsi="Times New Roman"/>
                <w:szCs w:val="21"/>
              </w:rPr>
              <w:t>标准编制组主持人，全面负责项目工作，负责标准申报，制定方案，组织实施与协调，主笔起草标准。</w:t>
            </w:r>
          </w:p>
        </w:tc>
      </w:tr>
      <w:tr w14:paraId="4E18FE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2318" w:type="dxa"/>
            <w:shd w:val="clear" w:color="auto" w:fill="auto"/>
          </w:tcPr>
          <w:p w14:paraId="36080D74">
            <w:pPr>
              <w:pStyle w:val="3"/>
              <w:adjustRightInd w:val="0"/>
              <w:snapToGrid w:val="0"/>
              <w:rPr>
                <w:rFonts w:ascii="Times New Roman" w:hAnsi="Times New Roman"/>
                <w:szCs w:val="21"/>
              </w:rPr>
            </w:pPr>
            <w:r>
              <w:rPr>
                <w:rFonts w:ascii="Times New Roman" w:hAnsi="Times New Roman"/>
                <w:szCs w:val="21"/>
              </w:rPr>
              <w:t>海南省海洋与渔业科学院</w:t>
            </w:r>
          </w:p>
        </w:tc>
        <w:tc>
          <w:tcPr>
            <w:tcW w:w="0" w:type="auto"/>
            <w:shd w:val="clear" w:color="auto" w:fill="auto"/>
          </w:tcPr>
          <w:p w14:paraId="27C7E1AE">
            <w:pPr>
              <w:pStyle w:val="3"/>
              <w:adjustRightInd w:val="0"/>
              <w:snapToGrid w:val="0"/>
              <w:rPr>
                <w:rFonts w:ascii="Times New Roman" w:hAnsi="Times New Roman"/>
                <w:szCs w:val="21"/>
              </w:rPr>
            </w:pPr>
            <w:r>
              <w:rPr>
                <w:rFonts w:ascii="Times New Roman" w:hAnsi="Times New Roman"/>
                <w:szCs w:val="21"/>
              </w:rPr>
              <w:t>负责观赏珊瑚养殖技术规范 石珊瑚标准的术语、技术内容的编写</w:t>
            </w:r>
          </w:p>
        </w:tc>
      </w:tr>
      <w:tr w14:paraId="319E7F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2318" w:type="dxa"/>
            <w:shd w:val="clear" w:color="auto" w:fill="auto"/>
          </w:tcPr>
          <w:p w14:paraId="5F691685">
            <w:pPr>
              <w:pStyle w:val="3"/>
              <w:adjustRightInd w:val="0"/>
              <w:snapToGrid w:val="0"/>
              <w:rPr>
                <w:rFonts w:ascii="Times New Roman" w:hAnsi="Times New Roman"/>
                <w:szCs w:val="21"/>
              </w:rPr>
            </w:pPr>
            <w:r>
              <w:rPr>
                <w:rFonts w:ascii="Times New Roman" w:hAnsi="Times New Roman"/>
              </w:rPr>
              <w:t>中国科学院南海海洋研究所</w:t>
            </w:r>
          </w:p>
        </w:tc>
        <w:tc>
          <w:tcPr>
            <w:tcW w:w="5272" w:type="dxa"/>
            <w:shd w:val="clear" w:color="auto" w:fill="auto"/>
          </w:tcPr>
          <w:p w14:paraId="4A1F75F3">
            <w:pPr>
              <w:pStyle w:val="3"/>
              <w:adjustRightInd w:val="0"/>
              <w:snapToGrid w:val="0"/>
              <w:rPr>
                <w:rFonts w:ascii="Times New Roman" w:hAnsi="Times New Roman"/>
                <w:szCs w:val="21"/>
              </w:rPr>
            </w:pPr>
            <w:r>
              <w:rPr>
                <w:rFonts w:ascii="Times New Roman" w:hAnsi="Times New Roman"/>
                <w:szCs w:val="21"/>
              </w:rPr>
              <w:t>负责标准合稿</w:t>
            </w:r>
          </w:p>
        </w:tc>
      </w:tr>
      <w:tr w14:paraId="288131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2318" w:type="dxa"/>
            <w:shd w:val="clear" w:color="auto" w:fill="auto"/>
          </w:tcPr>
          <w:p w14:paraId="691EE7EF">
            <w:pPr>
              <w:pStyle w:val="3"/>
              <w:adjustRightInd w:val="0"/>
              <w:snapToGrid w:val="0"/>
              <w:rPr>
                <w:rFonts w:ascii="Times New Roman" w:hAnsi="Times New Roman"/>
                <w:szCs w:val="21"/>
              </w:rPr>
            </w:pPr>
            <w:r>
              <w:rPr>
                <w:rFonts w:ascii="Times New Roman" w:hAnsi="Times New Roman"/>
                <w:szCs w:val="21"/>
              </w:rPr>
              <w:t>中国水产科学研究院黄海研究所</w:t>
            </w:r>
          </w:p>
        </w:tc>
        <w:tc>
          <w:tcPr>
            <w:tcW w:w="5272" w:type="dxa"/>
            <w:shd w:val="clear" w:color="auto" w:fill="auto"/>
          </w:tcPr>
          <w:p w14:paraId="2F2ABD5B">
            <w:pPr>
              <w:pStyle w:val="3"/>
              <w:adjustRightInd w:val="0"/>
              <w:snapToGrid w:val="0"/>
              <w:rPr>
                <w:rFonts w:ascii="Times New Roman" w:hAnsi="Times New Roman"/>
                <w:szCs w:val="21"/>
              </w:rPr>
            </w:pPr>
            <w:r>
              <w:rPr>
                <w:rFonts w:ascii="Times New Roman" w:hAnsi="Times New Roman"/>
                <w:szCs w:val="21"/>
              </w:rPr>
              <w:t>负责标准合稿</w:t>
            </w:r>
          </w:p>
        </w:tc>
      </w:tr>
      <w:tr w14:paraId="37843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2318" w:type="dxa"/>
            <w:shd w:val="clear" w:color="auto" w:fill="auto"/>
          </w:tcPr>
          <w:p w14:paraId="1CCBC0BE">
            <w:pPr>
              <w:pStyle w:val="3"/>
              <w:adjustRightInd w:val="0"/>
              <w:snapToGrid w:val="0"/>
              <w:rPr>
                <w:rFonts w:ascii="Times New Roman" w:hAnsi="Times New Roman"/>
                <w:szCs w:val="21"/>
              </w:rPr>
            </w:pPr>
            <w:r>
              <w:rPr>
                <w:rFonts w:ascii="Times New Roman" w:hAnsi="Times New Roman"/>
                <w:szCs w:val="21"/>
              </w:rPr>
              <w:t>海南大学</w:t>
            </w:r>
          </w:p>
        </w:tc>
        <w:tc>
          <w:tcPr>
            <w:tcW w:w="5272" w:type="dxa"/>
            <w:shd w:val="clear" w:color="auto" w:fill="auto"/>
          </w:tcPr>
          <w:p w14:paraId="16A61507">
            <w:pPr>
              <w:pStyle w:val="3"/>
              <w:adjustRightInd w:val="0"/>
              <w:snapToGrid w:val="0"/>
              <w:rPr>
                <w:rFonts w:ascii="Times New Roman" w:hAnsi="Times New Roman"/>
                <w:szCs w:val="21"/>
              </w:rPr>
            </w:pPr>
            <w:r>
              <w:rPr>
                <w:rFonts w:ascii="Times New Roman" w:hAnsi="Times New Roman"/>
                <w:szCs w:val="21"/>
              </w:rPr>
              <w:t>负责标准的试验验证及合稿等</w:t>
            </w:r>
          </w:p>
        </w:tc>
      </w:tr>
      <w:tr w14:paraId="588F0A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2318" w:type="dxa"/>
            <w:shd w:val="clear" w:color="auto" w:fill="auto"/>
          </w:tcPr>
          <w:p w14:paraId="41D2E263">
            <w:pPr>
              <w:pStyle w:val="3"/>
              <w:adjustRightInd w:val="0"/>
              <w:snapToGrid w:val="0"/>
              <w:rPr>
                <w:rFonts w:ascii="Times New Roman" w:hAnsi="Times New Roman"/>
                <w:szCs w:val="21"/>
              </w:rPr>
            </w:pPr>
            <w:r>
              <w:rPr>
                <w:rFonts w:ascii="Times New Roman" w:hAnsi="Times New Roman"/>
                <w:szCs w:val="21"/>
              </w:rPr>
              <w:t>北京漫步环艺设计规划有限公司</w:t>
            </w:r>
          </w:p>
        </w:tc>
        <w:tc>
          <w:tcPr>
            <w:tcW w:w="5272" w:type="dxa"/>
            <w:shd w:val="clear" w:color="auto" w:fill="auto"/>
          </w:tcPr>
          <w:p w14:paraId="5CB94425">
            <w:pPr>
              <w:pStyle w:val="3"/>
              <w:adjustRightInd w:val="0"/>
              <w:snapToGrid w:val="0"/>
              <w:rPr>
                <w:rFonts w:ascii="Times New Roman" w:hAnsi="Times New Roman"/>
                <w:szCs w:val="21"/>
              </w:rPr>
            </w:pPr>
            <w:r>
              <w:rPr>
                <w:rFonts w:ascii="Times New Roman" w:hAnsi="Times New Roman"/>
                <w:szCs w:val="21"/>
              </w:rPr>
              <w:t>负责标准的试验验证及合稿等</w:t>
            </w:r>
          </w:p>
        </w:tc>
      </w:tr>
      <w:tr w14:paraId="1FA7F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4" w:hRule="atLeast"/>
          <w:jc w:val="center"/>
        </w:trPr>
        <w:tc>
          <w:tcPr>
            <w:tcW w:w="2318" w:type="dxa"/>
            <w:shd w:val="clear" w:color="auto" w:fill="auto"/>
          </w:tcPr>
          <w:p w14:paraId="181A3BBF">
            <w:pPr>
              <w:adjustRightInd w:val="0"/>
              <w:snapToGrid w:val="0"/>
              <w:rPr>
                <w:szCs w:val="21"/>
              </w:rPr>
            </w:pPr>
            <w:r>
              <w:t>中国水产科学研究院黄海研究所</w:t>
            </w:r>
          </w:p>
        </w:tc>
        <w:tc>
          <w:tcPr>
            <w:tcW w:w="5272" w:type="dxa"/>
            <w:shd w:val="clear" w:color="auto" w:fill="auto"/>
          </w:tcPr>
          <w:p w14:paraId="0C092DF7">
            <w:pPr>
              <w:pStyle w:val="3"/>
              <w:adjustRightInd w:val="0"/>
              <w:snapToGrid w:val="0"/>
              <w:rPr>
                <w:rFonts w:ascii="Times New Roman" w:hAnsi="Times New Roman"/>
                <w:szCs w:val="21"/>
              </w:rPr>
            </w:pPr>
            <w:r>
              <w:rPr>
                <w:rFonts w:ascii="Times New Roman" w:hAnsi="Times New Roman"/>
                <w:szCs w:val="21"/>
              </w:rPr>
              <w:t>负责标准的试验验证及合稿等</w:t>
            </w:r>
          </w:p>
        </w:tc>
      </w:tr>
    </w:tbl>
    <w:p w14:paraId="3FB07490">
      <w:pPr>
        <w:rPr>
          <w:rFonts w:eastAsia="仿宋"/>
          <w:b/>
          <w:bCs/>
          <w:sz w:val="28"/>
          <w:szCs w:val="28"/>
        </w:rPr>
      </w:pPr>
      <w:r>
        <w:rPr>
          <w:rFonts w:eastAsia="仿宋"/>
          <w:b/>
          <w:bCs/>
          <w:sz w:val="28"/>
          <w:szCs w:val="28"/>
        </w:rPr>
        <w:t>二、团体标准编制原则、主要内容及其确定依据，修订团体标准时，还包括修订前后技术内容的对比；</w:t>
      </w:r>
    </w:p>
    <w:p w14:paraId="587F3922">
      <w:pPr>
        <w:rPr>
          <w:rFonts w:eastAsia="仿宋"/>
          <w:b/>
          <w:bCs/>
          <w:sz w:val="28"/>
          <w:szCs w:val="28"/>
        </w:rPr>
      </w:pPr>
      <w:r>
        <w:rPr>
          <w:rFonts w:eastAsia="仿宋"/>
          <w:b/>
          <w:bCs/>
          <w:sz w:val="28"/>
          <w:szCs w:val="28"/>
        </w:rPr>
        <w:t>（一）本文件编制的原则</w:t>
      </w:r>
    </w:p>
    <w:p w14:paraId="2329D466">
      <w:pPr>
        <w:ind w:firstLine="560" w:firstLineChars="200"/>
        <w:rPr>
          <w:rFonts w:eastAsia="仿宋"/>
          <w:sz w:val="28"/>
          <w:szCs w:val="28"/>
        </w:rPr>
      </w:pPr>
      <w:r>
        <w:rPr>
          <w:rFonts w:eastAsia="仿宋"/>
          <w:sz w:val="28"/>
          <w:szCs w:val="28"/>
        </w:rPr>
        <w:t>1.合法性原则</w:t>
      </w:r>
    </w:p>
    <w:p w14:paraId="6BBD54DE">
      <w:pPr>
        <w:ind w:firstLine="560" w:firstLineChars="200"/>
        <w:rPr>
          <w:rFonts w:eastAsia="仿宋"/>
          <w:sz w:val="28"/>
          <w:szCs w:val="28"/>
        </w:rPr>
      </w:pPr>
      <w:r>
        <w:rPr>
          <w:rFonts w:eastAsia="仿宋"/>
          <w:sz w:val="28"/>
          <w:szCs w:val="28"/>
        </w:rPr>
        <w:t>严格遵循《中华人民共和国标准化法》《中华人民共和国野生动物保护法》及《濒危野生动植物种国际贸易公约》（CITES）等法律法规要求，确保标准内容与现行法律体系一致。例如，在</w:t>
      </w:r>
      <w:r>
        <w:rPr>
          <w:rFonts w:hint="eastAsia" w:eastAsia="仿宋"/>
          <w:sz w:val="28"/>
          <w:szCs w:val="28"/>
        </w:rPr>
        <w:t>“</w:t>
      </w:r>
      <w:r>
        <w:rPr>
          <w:rFonts w:eastAsia="仿宋"/>
          <w:sz w:val="28"/>
          <w:szCs w:val="28"/>
        </w:rPr>
        <w:t>苗种获取</w:t>
      </w:r>
      <w:r>
        <w:rPr>
          <w:rFonts w:hint="eastAsia" w:eastAsia="仿宋"/>
          <w:sz w:val="28"/>
          <w:szCs w:val="28"/>
        </w:rPr>
        <w:t>”</w:t>
      </w:r>
      <w:r>
        <w:rPr>
          <w:rFonts w:eastAsia="仿宋"/>
          <w:sz w:val="28"/>
          <w:szCs w:val="28"/>
        </w:rPr>
        <w:t>章节明确进口、采捕、繁育等环节的资质要求，直接对接水生野生动物管理规定，避免因标准条款疏漏导致行业合规风险。</w:t>
      </w:r>
    </w:p>
    <w:p w14:paraId="2C18C6CF">
      <w:pPr>
        <w:ind w:firstLine="560" w:firstLineChars="200"/>
        <w:rPr>
          <w:rFonts w:eastAsia="仿宋"/>
          <w:sz w:val="28"/>
          <w:szCs w:val="28"/>
        </w:rPr>
      </w:pPr>
      <w:r>
        <w:rPr>
          <w:rFonts w:eastAsia="仿宋"/>
          <w:sz w:val="28"/>
          <w:szCs w:val="28"/>
        </w:rPr>
        <w:t>2.科学性原则</w:t>
      </w:r>
    </w:p>
    <w:p w14:paraId="478C53CE">
      <w:pPr>
        <w:ind w:firstLine="560" w:firstLineChars="200"/>
        <w:rPr>
          <w:rFonts w:eastAsia="仿宋"/>
          <w:sz w:val="28"/>
          <w:szCs w:val="28"/>
        </w:rPr>
      </w:pPr>
      <w:r>
        <w:rPr>
          <w:rFonts w:eastAsia="仿宋"/>
          <w:sz w:val="28"/>
          <w:szCs w:val="28"/>
        </w:rPr>
        <w:t>以石珊瑚生物学特性和生态适宜性为基础，采用可量化、可验证的技术参数，形成科学严谨的养殖体系。如根据不同属珊瑚的摄食习性（主动捕食、滤食依赖、共生营养主导），区分投喂频率与饲料类型；水质指标（水温 24-26℃、盐度 34-36ppt 等）均通过对照试验验证，确保其对珊瑚生长的适配性，避免经验性表述。</w:t>
      </w:r>
    </w:p>
    <w:p w14:paraId="31BFA279">
      <w:pPr>
        <w:ind w:firstLine="560" w:firstLineChars="200"/>
        <w:rPr>
          <w:rFonts w:eastAsia="仿宋"/>
          <w:sz w:val="28"/>
          <w:szCs w:val="28"/>
        </w:rPr>
      </w:pPr>
      <w:r>
        <w:rPr>
          <w:rFonts w:eastAsia="仿宋"/>
          <w:sz w:val="28"/>
          <w:szCs w:val="28"/>
        </w:rPr>
        <w:t>3.实用性原则</w:t>
      </w:r>
    </w:p>
    <w:p w14:paraId="284BBAB1">
      <w:pPr>
        <w:ind w:firstLine="560" w:firstLineChars="200"/>
        <w:rPr>
          <w:rFonts w:eastAsia="仿宋"/>
          <w:sz w:val="28"/>
          <w:szCs w:val="28"/>
        </w:rPr>
      </w:pPr>
      <w:r>
        <w:rPr>
          <w:rFonts w:eastAsia="仿宋"/>
          <w:sz w:val="28"/>
          <w:szCs w:val="28"/>
        </w:rPr>
        <w:t>兼顾家庭、科研、海洋馆等不同养殖场景的实际条件，平衡专业性与可操作性。例如，将设备分为</w:t>
      </w:r>
      <w:r>
        <w:rPr>
          <w:rFonts w:hint="eastAsia" w:eastAsia="仿宋"/>
          <w:sz w:val="28"/>
          <w:szCs w:val="28"/>
        </w:rPr>
        <w:t>“</w:t>
      </w:r>
      <w:r>
        <w:rPr>
          <w:rFonts w:eastAsia="仿宋"/>
          <w:sz w:val="28"/>
          <w:szCs w:val="28"/>
        </w:rPr>
        <w:t>必要设备</w:t>
      </w:r>
      <w:r>
        <w:rPr>
          <w:rFonts w:hint="eastAsia" w:eastAsia="仿宋"/>
          <w:sz w:val="28"/>
          <w:szCs w:val="28"/>
        </w:rPr>
        <w:t>”</w:t>
      </w:r>
      <w:r>
        <w:rPr>
          <w:rFonts w:eastAsia="仿宋"/>
          <w:sz w:val="28"/>
          <w:szCs w:val="28"/>
        </w:rPr>
        <w:t>（如养殖容器、循环水泵）和</w:t>
      </w:r>
      <w:r>
        <w:rPr>
          <w:rFonts w:hint="eastAsia" w:eastAsia="仿宋"/>
          <w:sz w:val="28"/>
          <w:szCs w:val="28"/>
        </w:rPr>
        <w:t>“</w:t>
      </w:r>
      <w:r>
        <w:rPr>
          <w:rFonts w:eastAsia="仿宋"/>
          <w:sz w:val="28"/>
          <w:szCs w:val="28"/>
        </w:rPr>
        <w:t>选配设备</w:t>
      </w:r>
      <w:r>
        <w:rPr>
          <w:rFonts w:hint="eastAsia" w:eastAsia="仿宋"/>
          <w:sz w:val="28"/>
          <w:szCs w:val="28"/>
        </w:rPr>
        <w:t>”</w:t>
      </w:r>
      <w:r>
        <w:rPr>
          <w:rFonts w:eastAsia="仿宋"/>
          <w:sz w:val="28"/>
          <w:szCs w:val="28"/>
        </w:rPr>
        <w:t>（如远程监控系统），既保障基础养殖需求，又为不同规模养殖者提供灵活选择；附录 A 以表格形式简化设备操作、喂养方式等内容，便于一线人员快速查阅执行。</w:t>
      </w:r>
    </w:p>
    <w:p w14:paraId="3D3DAE72">
      <w:pPr>
        <w:ind w:firstLine="560" w:firstLineChars="200"/>
        <w:rPr>
          <w:rFonts w:eastAsia="仿宋"/>
          <w:sz w:val="28"/>
          <w:szCs w:val="28"/>
        </w:rPr>
      </w:pPr>
      <w:r>
        <w:rPr>
          <w:rFonts w:eastAsia="仿宋"/>
          <w:sz w:val="28"/>
          <w:szCs w:val="28"/>
        </w:rPr>
        <w:t>4.协调性原则</w:t>
      </w:r>
    </w:p>
    <w:p w14:paraId="7578BD35">
      <w:pPr>
        <w:ind w:firstLine="560" w:firstLineChars="200"/>
        <w:rPr>
          <w:rFonts w:eastAsia="仿宋"/>
          <w:sz w:val="28"/>
          <w:szCs w:val="28"/>
        </w:rPr>
      </w:pPr>
      <w:r>
        <w:rPr>
          <w:rFonts w:eastAsia="仿宋"/>
          <w:sz w:val="28"/>
          <w:szCs w:val="28"/>
        </w:rPr>
        <w:t>与现行国家标准、行业标准保持衔接，避免技术冲突。直接引用 GB/T 1.1—2020（标准化工作导则）确保文件结构合规，参考 GB 17378.4-2007（海洋监测规范）规定水质测定方法，对接 NY 5052（无公害海水养殖用水）设定水质安全底线，形成统一的技术规范体系。</w:t>
      </w:r>
    </w:p>
    <w:p w14:paraId="27A7BE6A">
      <w:pPr>
        <w:ind w:firstLine="560" w:firstLineChars="200"/>
        <w:rPr>
          <w:rFonts w:eastAsia="仿宋"/>
          <w:sz w:val="28"/>
          <w:szCs w:val="28"/>
        </w:rPr>
      </w:pPr>
      <w:r>
        <w:rPr>
          <w:rFonts w:eastAsia="仿宋"/>
          <w:sz w:val="28"/>
          <w:szCs w:val="28"/>
        </w:rPr>
        <w:t>5.可持续性原则</w:t>
      </w:r>
    </w:p>
    <w:p w14:paraId="1120DFF0">
      <w:pPr>
        <w:ind w:firstLine="560" w:firstLineChars="200"/>
        <w:rPr>
          <w:rFonts w:eastAsia="仿宋"/>
          <w:sz w:val="28"/>
          <w:szCs w:val="28"/>
        </w:rPr>
      </w:pPr>
      <w:r>
        <w:rPr>
          <w:rFonts w:eastAsia="仿宋"/>
          <w:sz w:val="28"/>
          <w:szCs w:val="28"/>
        </w:rPr>
        <w:t>通过规范养殖流程减少对野生资源的依赖，促进产业绿色发展。例如，强调苗种检疫与驯化流程以降低死亡率，规定记录保存要求以实现全流程追溯，引导行业从</w:t>
      </w:r>
      <w:r>
        <w:rPr>
          <w:rFonts w:hint="eastAsia" w:eastAsia="仿宋"/>
          <w:sz w:val="28"/>
          <w:szCs w:val="28"/>
        </w:rPr>
        <w:t>“</w:t>
      </w:r>
      <w:r>
        <w:rPr>
          <w:rFonts w:eastAsia="仿宋"/>
          <w:sz w:val="28"/>
          <w:szCs w:val="28"/>
        </w:rPr>
        <w:t>野生采捕</w:t>
      </w:r>
      <w:r>
        <w:rPr>
          <w:rFonts w:hint="eastAsia" w:eastAsia="仿宋"/>
          <w:sz w:val="28"/>
          <w:szCs w:val="28"/>
        </w:rPr>
        <w:t>”</w:t>
      </w:r>
      <w:r>
        <w:rPr>
          <w:rFonts w:eastAsia="仿宋"/>
          <w:sz w:val="28"/>
          <w:szCs w:val="28"/>
        </w:rPr>
        <w:t>转向</w:t>
      </w:r>
      <w:r>
        <w:rPr>
          <w:rFonts w:hint="eastAsia" w:eastAsia="仿宋"/>
          <w:sz w:val="28"/>
          <w:szCs w:val="28"/>
        </w:rPr>
        <w:t>“</w:t>
      </w:r>
      <w:r>
        <w:rPr>
          <w:rFonts w:eastAsia="仿宋"/>
          <w:sz w:val="28"/>
          <w:szCs w:val="28"/>
        </w:rPr>
        <w:t>人工繁育</w:t>
      </w:r>
      <w:r>
        <w:rPr>
          <w:rFonts w:hint="eastAsia" w:eastAsia="仿宋"/>
          <w:sz w:val="28"/>
          <w:szCs w:val="28"/>
        </w:rPr>
        <w:t>”</w:t>
      </w:r>
      <w:r>
        <w:rPr>
          <w:rFonts w:eastAsia="仿宋"/>
          <w:sz w:val="28"/>
          <w:szCs w:val="28"/>
        </w:rPr>
        <w:t>，兼顾经济效益与海洋生态保护。</w:t>
      </w:r>
    </w:p>
    <w:p w14:paraId="3F2251E1">
      <w:pPr>
        <w:rPr>
          <w:rFonts w:eastAsia="仿宋"/>
          <w:b/>
          <w:bCs/>
          <w:sz w:val="28"/>
          <w:szCs w:val="28"/>
        </w:rPr>
      </w:pPr>
      <w:r>
        <w:rPr>
          <w:rFonts w:eastAsia="仿宋"/>
          <w:b/>
          <w:bCs/>
          <w:sz w:val="28"/>
          <w:szCs w:val="28"/>
        </w:rPr>
        <w:t>（二）本文件的主要技术内容的确定依据</w:t>
      </w:r>
    </w:p>
    <w:p w14:paraId="3C24DB53">
      <w:pPr>
        <w:ind w:firstLine="560" w:firstLineChars="200"/>
        <w:rPr>
          <w:rFonts w:eastAsia="仿宋"/>
          <w:sz w:val="28"/>
          <w:szCs w:val="28"/>
        </w:rPr>
      </w:pPr>
      <w:r>
        <w:rPr>
          <w:rFonts w:eastAsia="仿宋"/>
          <w:sz w:val="28"/>
          <w:szCs w:val="28"/>
        </w:rPr>
        <w:t>本标准界定了石珊瑚水族养殖中的常用术语，确立了石珊瑚水族养殖的条件要求、涵盖了石珊瑚水族养殖的技术方法，对于养殖过程的维护与管理也进行了要求。在参阅以往相关研究成果并进行充分实验验证后，形成了本文件。</w:t>
      </w:r>
    </w:p>
    <w:p w14:paraId="63BB61DD">
      <w:pPr>
        <w:ind w:firstLine="560" w:firstLineChars="200"/>
        <w:rPr>
          <w:rFonts w:eastAsia="仿宋"/>
          <w:sz w:val="28"/>
          <w:szCs w:val="28"/>
        </w:rPr>
      </w:pPr>
      <w:r>
        <w:rPr>
          <w:rFonts w:eastAsia="仿宋"/>
          <w:sz w:val="28"/>
          <w:szCs w:val="28"/>
        </w:rPr>
        <w:t>现将有关内容说明如下：</w:t>
      </w:r>
    </w:p>
    <w:p w14:paraId="4FD14D2C">
      <w:pPr>
        <w:ind w:firstLine="562" w:firstLineChars="200"/>
        <w:rPr>
          <w:rFonts w:eastAsia="仿宋"/>
          <w:b/>
          <w:bCs/>
          <w:sz w:val="28"/>
          <w:szCs w:val="28"/>
        </w:rPr>
      </w:pPr>
      <w:r>
        <w:rPr>
          <w:rFonts w:eastAsia="仿宋"/>
          <w:b/>
          <w:bCs/>
          <w:sz w:val="28"/>
          <w:szCs w:val="28"/>
        </w:rPr>
        <w:t>1  范围</w:t>
      </w:r>
    </w:p>
    <w:p w14:paraId="379A4A24">
      <w:pPr>
        <w:ind w:firstLine="560" w:firstLineChars="200"/>
        <w:rPr>
          <w:rFonts w:eastAsia="仿宋"/>
          <w:sz w:val="28"/>
          <w:szCs w:val="28"/>
        </w:rPr>
      </w:pPr>
      <w:r>
        <w:rPr>
          <w:rFonts w:eastAsia="仿宋"/>
          <w:sz w:val="28"/>
          <w:szCs w:val="28"/>
        </w:rPr>
        <w:t>本文件规定了观赏珊瑚养殖技术规范 石珊瑚的基本原则、养殖条件、养殖方法、维护管理和记录保存等要求。</w:t>
      </w:r>
    </w:p>
    <w:p w14:paraId="12A3B242">
      <w:pPr>
        <w:ind w:firstLine="560" w:firstLineChars="200"/>
        <w:rPr>
          <w:rFonts w:eastAsia="仿宋"/>
          <w:sz w:val="28"/>
          <w:szCs w:val="28"/>
        </w:rPr>
      </w:pPr>
      <w:r>
        <w:rPr>
          <w:rFonts w:eastAsia="仿宋"/>
          <w:sz w:val="28"/>
          <w:szCs w:val="28"/>
        </w:rPr>
        <w:t>本文件适用于家庭、科研和海洋馆等场景中观赏石珊瑚的养殖，其他相关养殖工作可参照适用。</w:t>
      </w:r>
    </w:p>
    <w:p w14:paraId="199C4560">
      <w:pPr>
        <w:ind w:firstLine="562" w:firstLineChars="200"/>
        <w:rPr>
          <w:rFonts w:eastAsia="仿宋"/>
          <w:b/>
          <w:bCs/>
          <w:sz w:val="28"/>
          <w:szCs w:val="28"/>
        </w:rPr>
      </w:pPr>
      <w:r>
        <w:rPr>
          <w:rFonts w:eastAsia="仿宋"/>
          <w:b/>
          <w:bCs/>
          <w:sz w:val="28"/>
          <w:szCs w:val="28"/>
        </w:rPr>
        <w:t>2  规范性引用文件</w:t>
      </w:r>
    </w:p>
    <w:p w14:paraId="03F6938C">
      <w:pPr>
        <w:ind w:firstLine="560" w:firstLineChars="200"/>
        <w:rPr>
          <w:rFonts w:eastAsia="仿宋"/>
          <w:sz w:val="28"/>
          <w:szCs w:val="28"/>
        </w:rPr>
      </w:pPr>
      <w:r>
        <w:rPr>
          <w:rFonts w:eastAsia="仿宋"/>
          <w:sz w:val="28"/>
          <w:szCs w:val="28"/>
        </w:rPr>
        <w:t>本标准涉及的内容主要参照GB/T 1.1—2020 标准化工作导则 第 1 部分：标准化文件的结构和起草规则、GB 17378.4-2007海洋监测规范 第4部分：海水分析、NY 5052  无公害食品 海水养殖用水水质。</w:t>
      </w:r>
    </w:p>
    <w:p w14:paraId="52B517E8">
      <w:pPr>
        <w:ind w:firstLine="562" w:firstLineChars="200"/>
        <w:rPr>
          <w:rFonts w:eastAsia="仿宋"/>
          <w:b/>
          <w:bCs/>
          <w:sz w:val="28"/>
          <w:szCs w:val="28"/>
        </w:rPr>
      </w:pPr>
      <w:r>
        <w:rPr>
          <w:rFonts w:eastAsia="仿宋"/>
          <w:b/>
          <w:bCs/>
          <w:sz w:val="28"/>
          <w:szCs w:val="28"/>
        </w:rPr>
        <w:t>3  术语和定义</w:t>
      </w:r>
    </w:p>
    <w:p w14:paraId="4E7241BD">
      <w:pPr>
        <w:ind w:firstLine="560" w:firstLineChars="200"/>
        <w:rPr>
          <w:rFonts w:eastAsia="仿宋"/>
          <w:kern w:val="0"/>
          <w:sz w:val="28"/>
          <w:szCs w:val="28"/>
        </w:rPr>
      </w:pPr>
      <w:r>
        <w:rPr>
          <w:rFonts w:eastAsia="仿宋"/>
          <w:sz w:val="28"/>
          <w:szCs w:val="28"/>
        </w:rPr>
        <w:t>本常用术语参考石珊瑚水族养殖的专业术语进行了定义。强调形态、色彩、纹理等视觉特征，明确适用于水族展示、科普教育等场景，排除工业原料、药物提取等非观赏用途。</w:t>
      </w:r>
    </w:p>
    <w:p w14:paraId="311CA217">
      <w:pPr>
        <w:ind w:firstLine="562" w:firstLineChars="200"/>
        <w:rPr>
          <w:rFonts w:eastAsia="仿宋"/>
          <w:b/>
          <w:bCs/>
          <w:sz w:val="28"/>
          <w:szCs w:val="28"/>
        </w:rPr>
      </w:pPr>
      <w:r>
        <w:rPr>
          <w:rFonts w:eastAsia="仿宋"/>
          <w:b/>
          <w:bCs/>
          <w:sz w:val="28"/>
          <w:szCs w:val="28"/>
        </w:rPr>
        <w:t>4  基本原则</w:t>
      </w:r>
    </w:p>
    <w:p w14:paraId="2F39DF1A">
      <w:pPr>
        <w:ind w:firstLine="560" w:firstLineChars="200"/>
        <w:rPr>
          <w:rFonts w:eastAsia="仿宋"/>
          <w:sz w:val="28"/>
          <w:szCs w:val="28"/>
        </w:rPr>
      </w:pPr>
      <w:r>
        <w:rPr>
          <w:rFonts w:eastAsia="仿宋"/>
          <w:sz w:val="28"/>
          <w:szCs w:val="28"/>
        </w:rPr>
        <w:t>4.1 合法性：依据《中华人民共和国野生动物保护法》《濒危野生动植物种国际贸易公约》（CITES）及国内水生野生动物管理规定，确保观赏石珊瑚的获取、运输、养殖等全流程符合法律要求。例如，苗种进口需持有《CITES 允许进出口证明书》，直接呼应国际公约与国内法规对濒危物种的管理要求，避免非法养殖行为。</w:t>
      </w:r>
    </w:p>
    <w:p w14:paraId="3EDF835D">
      <w:pPr>
        <w:ind w:firstLine="560" w:firstLineChars="200"/>
        <w:rPr>
          <w:rFonts w:eastAsia="仿宋"/>
          <w:sz w:val="28"/>
          <w:szCs w:val="28"/>
        </w:rPr>
      </w:pPr>
      <w:r>
        <w:rPr>
          <w:rFonts w:eastAsia="仿宋"/>
          <w:sz w:val="28"/>
          <w:szCs w:val="28"/>
        </w:rPr>
        <w:t>4.2 系统性：基于观赏珊瑚养殖技术规范 石珊瑚</w:t>
      </w:r>
      <w:r>
        <w:rPr>
          <w:rFonts w:hint="eastAsia" w:eastAsia="仿宋"/>
          <w:sz w:val="28"/>
          <w:szCs w:val="28"/>
        </w:rPr>
        <w:t>“</w:t>
      </w:r>
      <w:r>
        <w:rPr>
          <w:rFonts w:eastAsia="仿宋"/>
          <w:sz w:val="28"/>
          <w:szCs w:val="28"/>
        </w:rPr>
        <w:t>养殖系统协同理论</w:t>
      </w:r>
      <w:r>
        <w:rPr>
          <w:rFonts w:hint="eastAsia" w:eastAsia="仿宋"/>
          <w:sz w:val="28"/>
          <w:szCs w:val="28"/>
        </w:rPr>
        <w:t>”</w:t>
      </w:r>
      <w:r>
        <w:rPr>
          <w:rFonts w:eastAsia="仿宋"/>
          <w:sz w:val="28"/>
          <w:szCs w:val="28"/>
        </w:rPr>
        <w:t>，强调设备配置、环境调控、维护管理的联动性。实地调研显示，当养殖容器、循环水设备、水质监测形成闭环时，系统稳定性提升观赏珊瑚养殖技术规范 石珊瑚40%，珊瑚存活率提高观赏珊瑚养殖技术规范 石珊瑚25%。此原则旨在避免观赏珊瑚养殖技术规范 石珊瑚</w:t>
      </w:r>
      <w:r>
        <w:rPr>
          <w:rFonts w:hint="eastAsia" w:eastAsia="仿宋"/>
          <w:sz w:val="28"/>
          <w:szCs w:val="28"/>
        </w:rPr>
        <w:t>“</w:t>
      </w:r>
      <w:r>
        <w:rPr>
          <w:rFonts w:eastAsia="仿宋"/>
          <w:sz w:val="28"/>
          <w:szCs w:val="28"/>
        </w:rPr>
        <w:t>单一环节优化而整体失衡</w:t>
      </w:r>
      <w:r>
        <w:rPr>
          <w:rFonts w:hint="eastAsia" w:eastAsia="仿宋"/>
          <w:sz w:val="28"/>
          <w:szCs w:val="28"/>
        </w:rPr>
        <w:t>”</w:t>
      </w:r>
      <w:r>
        <w:rPr>
          <w:rFonts w:eastAsia="仿宋"/>
          <w:sz w:val="28"/>
          <w:szCs w:val="28"/>
        </w:rPr>
        <w:t>观赏珊瑚养殖技术规范 石珊瑚的问题，确保人工养殖系统可持续运行。</w:t>
      </w:r>
    </w:p>
    <w:p w14:paraId="3508790F">
      <w:pPr>
        <w:ind w:firstLine="560" w:firstLineChars="200"/>
        <w:rPr>
          <w:rFonts w:eastAsia="仿宋"/>
          <w:sz w:val="28"/>
          <w:szCs w:val="28"/>
        </w:rPr>
      </w:pPr>
      <w:r>
        <w:rPr>
          <w:rFonts w:eastAsia="仿宋"/>
          <w:sz w:val="28"/>
          <w:szCs w:val="28"/>
        </w:rPr>
        <w:t>4.3 科学性：以石珊瑚生物学特性（如虫黄藻共生机制、摄食习性差异）和生态适宜性为基础。例如，根据不同属珊瑚的营养获取方式（主动捕食、滤食、共生）制定差异化喂养方案，依据对照试验确定水质参数（如水温观赏珊瑚养殖技术规范 石珊瑚24-26℃），确保技术要求可量化、可验证，而非依赖经验性判断。</w:t>
      </w:r>
    </w:p>
    <w:p w14:paraId="505D6C56">
      <w:pPr>
        <w:ind w:firstLine="562" w:firstLineChars="200"/>
        <w:rPr>
          <w:rFonts w:eastAsia="仿宋"/>
          <w:b/>
          <w:bCs/>
          <w:sz w:val="28"/>
          <w:szCs w:val="28"/>
        </w:rPr>
      </w:pPr>
      <w:r>
        <w:rPr>
          <w:rFonts w:eastAsia="仿宋"/>
          <w:b/>
          <w:bCs/>
          <w:sz w:val="28"/>
          <w:szCs w:val="28"/>
        </w:rPr>
        <w:t>5  养殖条件</w:t>
      </w:r>
    </w:p>
    <w:p w14:paraId="37C58117">
      <w:pPr>
        <w:ind w:firstLine="560" w:firstLineChars="200"/>
        <w:rPr>
          <w:rFonts w:eastAsia="仿宋"/>
          <w:sz w:val="28"/>
          <w:szCs w:val="28"/>
        </w:rPr>
      </w:pPr>
      <w:r>
        <w:rPr>
          <w:rFonts w:eastAsia="仿宋"/>
          <w:sz w:val="28"/>
          <w:szCs w:val="28"/>
        </w:rPr>
        <w:t>5.1 养殖场地：</w:t>
      </w:r>
    </w:p>
    <w:p w14:paraId="515AE898">
      <w:pPr>
        <w:ind w:firstLine="560" w:firstLineChars="200"/>
        <w:rPr>
          <w:rFonts w:eastAsia="仿宋"/>
          <w:sz w:val="28"/>
          <w:szCs w:val="28"/>
        </w:rPr>
      </w:pPr>
      <w:r>
        <w:rPr>
          <w:rFonts w:eastAsia="仿宋"/>
          <w:sz w:val="28"/>
          <w:szCs w:val="28"/>
        </w:rPr>
        <w:t>选址要求</w:t>
      </w:r>
      <w:r>
        <w:rPr>
          <w:rFonts w:hint="eastAsia" w:eastAsia="仿宋"/>
          <w:sz w:val="28"/>
          <w:szCs w:val="28"/>
        </w:rPr>
        <w:t>“</w:t>
      </w:r>
      <w:r>
        <w:rPr>
          <w:rFonts w:eastAsia="仿宋"/>
          <w:sz w:val="28"/>
          <w:szCs w:val="28"/>
        </w:rPr>
        <w:t>便于养护、取水排水便利、远离禁养区</w:t>
      </w:r>
      <w:r>
        <w:rPr>
          <w:rFonts w:hint="eastAsia" w:eastAsia="仿宋"/>
          <w:sz w:val="28"/>
          <w:szCs w:val="28"/>
        </w:rPr>
        <w:t>”</w:t>
      </w:r>
      <w:r>
        <w:rPr>
          <w:rFonts w:eastAsia="仿宋"/>
          <w:sz w:val="28"/>
          <w:szCs w:val="28"/>
        </w:rPr>
        <w:t>，布局要求</w:t>
      </w:r>
      <w:r>
        <w:rPr>
          <w:rFonts w:hint="eastAsia" w:eastAsia="仿宋"/>
          <w:sz w:val="28"/>
          <w:szCs w:val="28"/>
        </w:rPr>
        <w:t>“</w:t>
      </w:r>
      <w:r>
        <w:rPr>
          <w:rFonts w:eastAsia="仿宋"/>
          <w:sz w:val="28"/>
          <w:szCs w:val="28"/>
        </w:rPr>
        <w:t>功能分区明确（养殖区、净水区分离）、系统间距合理</w:t>
      </w:r>
      <w:r>
        <w:rPr>
          <w:rFonts w:hint="eastAsia" w:eastAsia="仿宋"/>
          <w:sz w:val="28"/>
          <w:szCs w:val="28"/>
        </w:rPr>
        <w:t>”</w:t>
      </w:r>
      <w:r>
        <w:rPr>
          <w:rFonts w:eastAsia="仿宋"/>
          <w:sz w:val="28"/>
          <w:szCs w:val="28"/>
        </w:rPr>
        <w:t>，依据实地调研结果——符合该条件的场地可减少30%的设备维护成本，降低交叉污染风险（调研显示，功能混杂的场地病害传播率是分区场地的 2 倍）。</w:t>
      </w:r>
      <w:r>
        <w:rPr>
          <w:rFonts w:hint="eastAsia" w:eastAsia="仿宋"/>
          <w:sz w:val="28"/>
          <w:szCs w:val="28"/>
        </w:rPr>
        <w:t>“</w:t>
      </w:r>
      <w:r>
        <w:rPr>
          <w:rFonts w:eastAsia="仿宋"/>
          <w:sz w:val="28"/>
          <w:szCs w:val="28"/>
        </w:rPr>
        <w:t>养殖水体与珊瑚数量适配</w:t>
      </w:r>
      <w:r>
        <w:rPr>
          <w:rFonts w:hint="eastAsia" w:eastAsia="仿宋"/>
          <w:sz w:val="28"/>
          <w:szCs w:val="28"/>
        </w:rPr>
        <w:t>”</w:t>
      </w:r>
      <w:r>
        <w:rPr>
          <w:rFonts w:eastAsia="仿宋"/>
          <w:sz w:val="28"/>
          <w:szCs w:val="28"/>
        </w:rPr>
        <w:t>则基于生态承载力测算，避免密度过高导致水质恶化（试验显示，珊瑚体积占水体比例超过 1/5 时，硝酸盐超标风险增加 40%）。</w:t>
      </w:r>
    </w:p>
    <w:p w14:paraId="2E3B2B02">
      <w:pPr>
        <w:ind w:firstLine="560" w:firstLineChars="200"/>
        <w:rPr>
          <w:rFonts w:eastAsia="仿宋"/>
          <w:sz w:val="28"/>
          <w:szCs w:val="28"/>
        </w:rPr>
      </w:pPr>
      <w:r>
        <w:rPr>
          <w:rFonts w:eastAsia="仿宋"/>
          <w:sz w:val="28"/>
          <w:szCs w:val="28"/>
        </w:rPr>
        <w:t>5.2 养殖设备：</w:t>
      </w:r>
    </w:p>
    <w:p w14:paraId="00E8525A">
      <w:pPr>
        <w:ind w:firstLine="560" w:firstLineChars="200"/>
        <w:rPr>
          <w:rFonts w:eastAsia="仿宋"/>
          <w:sz w:val="28"/>
          <w:szCs w:val="28"/>
        </w:rPr>
      </w:pPr>
      <w:r>
        <w:rPr>
          <w:rFonts w:eastAsia="仿宋"/>
          <w:sz w:val="28"/>
          <w:szCs w:val="28"/>
        </w:rPr>
        <w:t>必要设备：</w:t>
      </w:r>
      <w:r>
        <w:rPr>
          <w:rFonts w:hint="eastAsia" w:eastAsia="仿宋"/>
          <w:sz w:val="28"/>
          <w:szCs w:val="28"/>
        </w:rPr>
        <w:t>“</w:t>
      </w:r>
      <w:r>
        <w:rPr>
          <w:rFonts w:eastAsia="仿宋"/>
          <w:sz w:val="28"/>
          <w:szCs w:val="28"/>
        </w:rPr>
        <w:t>养殖容器单体容量≥50L</w:t>
      </w:r>
      <w:r>
        <w:rPr>
          <w:rFonts w:hint="eastAsia" w:eastAsia="仿宋"/>
          <w:sz w:val="28"/>
          <w:szCs w:val="28"/>
        </w:rPr>
        <w:t>”</w:t>
      </w:r>
      <w:r>
        <w:rPr>
          <w:rFonts w:eastAsia="仿宋"/>
          <w:sz w:val="28"/>
          <w:szCs w:val="28"/>
        </w:rPr>
        <w:t>依据试验验证——50L以下容器水质波动幅度（±8%）显著大于50L以上容器（±3%），难以维持稳定环境；</w:t>
      </w:r>
      <w:r>
        <w:rPr>
          <w:rFonts w:hint="eastAsia" w:eastAsia="仿宋"/>
          <w:sz w:val="28"/>
          <w:szCs w:val="28"/>
        </w:rPr>
        <w:t>“</w:t>
      </w:r>
      <w:r>
        <w:rPr>
          <w:rFonts w:eastAsia="仿宋"/>
          <w:sz w:val="28"/>
          <w:szCs w:val="28"/>
        </w:rPr>
        <w:t>循环水泵过滤能力≥1.5倍水体</w:t>
      </w:r>
      <w:r>
        <w:rPr>
          <w:rFonts w:hint="eastAsia" w:eastAsia="仿宋"/>
          <w:sz w:val="28"/>
          <w:szCs w:val="28"/>
        </w:rPr>
        <w:t>”</w:t>
      </w:r>
      <w:r>
        <w:rPr>
          <w:rFonts w:eastAsia="仿宋"/>
          <w:sz w:val="28"/>
          <w:szCs w:val="28"/>
        </w:rPr>
        <w:t>参考GB17378.4-2007中</w:t>
      </w:r>
      <w:r>
        <w:rPr>
          <w:rFonts w:hint="eastAsia" w:eastAsia="仿宋"/>
          <w:sz w:val="28"/>
          <w:szCs w:val="28"/>
        </w:rPr>
        <w:t>“</w:t>
      </w:r>
      <w:r>
        <w:rPr>
          <w:rFonts w:eastAsia="仿宋"/>
          <w:sz w:val="28"/>
          <w:szCs w:val="28"/>
        </w:rPr>
        <w:t>水体循环效率要求</w:t>
      </w:r>
      <w:r>
        <w:rPr>
          <w:rFonts w:hint="eastAsia" w:eastAsia="仿宋"/>
          <w:sz w:val="28"/>
          <w:szCs w:val="28"/>
        </w:rPr>
        <w:t>”</w:t>
      </w:r>
      <w:r>
        <w:rPr>
          <w:rFonts w:eastAsia="仿宋"/>
          <w:sz w:val="28"/>
          <w:szCs w:val="28"/>
        </w:rPr>
        <w:t>，确保每日循环1.5次以上以去除污染物；</w:t>
      </w:r>
      <w:r>
        <w:rPr>
          <w:rFonts w:hint="eastAsia" w:eastAsia="仿宋"/>
          <w:sz w:val="28"/>
          <w:szCs w:val="28"/>
        </w:rPr>
        <w:t>“</w:t>
      </w:r>
      <w:r>
        <w:rPr>
          <w:rFonts w:eastAsia="仿宋"/>
          <w:sz w:val="28"/>
          <w:szCs w:val="28"/>
        </w:rPr>
        <w:t>蛋白质分离器</w:t>
      </w:r>
      <w:r>
        <w:rPr>
          <w:rFonts w:hint="eastAsia" w:eastAsia="仿宋"/>
          <w:sz w:val="28"/>
          <w:szCs w:val="28"/>
        </w:rPr>
        <w:t>”</w:t>
      </w:r>
      <w:r>
        <w:rPr>
          <w:rFonts w:eastAsia="仿宋"/>
          <w:sz w:val="28"/>
          <w:szCs w:val="28"/>
        </w:rPr>
        <w:t>等净化设备的配置要求，源于行业数据——配备后氨氮浓度较未配备者低60%。</w:t>
      </w:r>
    </w:p>
    <w:p w14:paraId="01F97013">
      <w:pPr>
        <w:ind w:firstLine="560" w:firstLineChars="200"/>
        <w:rPr>
          <w:rFonts w:eastAsia="仿宋"/>
          <w:sz w:val="28"/>
          <w:szCs w:val="28"/>
        </w:rPr>
      </w:pPr>
      <w:r>
        <w:rPr>
          <w:rFonts w:eastAsia="仿宋"/>
          <w:sz w:val="28"/>
          <w:szCs w:val="28"/>
        </w:rPr>
        <w:t>选配设备：</w:t>
      </w:r>
      <w:r>
        <w:rPr>
          <w:rFonts w:hint="eastAsia" w:eastAsia="仿宋"/>
          <w:sz w:val="28"/>
          <w:szCs w:val="28"/>
        </w:rPr>
        <w:t>“</w:t>
      </w:r>
      <w:r>
        <w:rPr>
          <w:rFonts w:eastAsia="仿宋"/>
          <w:sz w:val="28"/>
          <w:szCs w:val="28"/>
        </w:rPr>
        <w:t>造浪设备流量为水体10-20倍/小时</w:t>
      </w:r>
      <w:r>
        <w:rPr>
          <w:rFonts w:hint="eastAsia" w:eastAsia="仿宋"/>
          <w:sz w:val="28"/>
          <w:szCs w:val="28"/>
        </w:rPr>
        <w:t>”</w:t>
      </w:r>
      <w:r>
        <w:rPr>
          <w:rFonts w:eastAsia="仿宋"/>
          <w:sz w:val="28"/>
          <w:szCs w:val="28"/>
        </w:rPr>
        <w:t>依据珊瑚习性（如SPS珊瑚需强水流，脑珊瑚需弱水流）；</w:t>
      </w:r>
      <w:r>
        <w:rPr>
          <w:rFonts w:hint="eastAsia" w:eastAsia="仿宋"/>
          <w:sz w:val="28"/>
          <w:szCs w:val="28"/>
        </w:rPr>
        <w:t>“</w:t>
      </w:r>
      <w:r>
        <w:rPr>
          <w:rFonts w:eastAsia="仿宋"/>
          <w:sz w:val="28"/>
          <w:szCs w:val="28"/>
        </w:rPr>
        <w:t>照明设备含蓝光（420-470nm）和白光（5000-7000K）</w:t>
      </w:r>
      <w:r>
        <w:rPr>
          <w:rFonts w:hint="eastAsia" w:eastAsia="仿宋"/>
          <w:sz w:val="28"/>
          <w:szCs w:val="28"/>
        </w:rPr>
        <w:t>”</w:t>
      </w:r>
      <w:r>
        <w:rPr>
          <w:rFonts w:eastAsia="仿宋"/>
          <w:sz w:val="28"/>
          <w:szCs w:val="28"/>
        </w:rPr>
        <w:t>参考虫黄藻光合作用需求（试验显示该光谱组合可使藻细胞活性提升25%）。</w:t>
      </w:r>
    </w:p>
    <w:p w14:paraId="4E840164">
      <w:pPr>
        <w:ind w:firstLine="560" w:firstLineChars="200"/>
        <w:rPr>
          <w:rFonts w:eastAsia="仿宋"/>
          <w:sz w:val="28"/>
          <w:szCs w:val="28"/>
        </w:rPr>
      </w:pPr>
      <w:r>
        <w:rPr>
          <w:rFonts w:eastAsia="仿宋"/>
          <w:sz w:val="28"/>
          <w:szCs w:val="28"/>
        </w:rPr>
        <w:t>5.3养殖人员：</w:t>
      </w:r>
      <w:r>
        <w:rPr>
          <w:rFonts w:hint="eastAsia" w:eastAsia="仿宋"/>
          <w:sz w:val="28"/>
          <w:szCs w:val="28"/>
        </w:rPr>
        <w:t>“</w:t>
      </w:r>
      <w:r>
        <w:rPr>
          <w:rFonts w:eastAsia="仿宋"/>
          <w:sz w:val="28"/>
          <w:szCs w:val="28"/>
        </w:rPr>
        <w:t>至少1名专业人员</w:t>
      </w:r>
      <w:r>
        <w:rPr>
          <w:rFonts w:hint="eastAsia" w:eastAsia="仿宋"/>
          <w:sz w:val="28"/>
          <w:szCs w:val="28"/>
        </w:rPr>
        <w:t>”</w:t>
      </w:r>
      <w:r>
        <w:rPr>
          <w:rFonts w:eastAsia="仿宋"/>
          <w:sz w:val="28"/>
          <w:szCs w:val="28"/>
        </w:rPr>
        <w:t>依据行业统计——具备专业知识的人员可使病害识别准确率提升50%，应急处理效率提高40%，显著降低养殖损失（调研显示，无专业人员的场地死亡率是有专业人员场地的3倍）。</w:t>
      </w:r>
    </w:p>
    <w:p w14:paraId="2E4DB6EB">
      <w:pPr>
        <w:ind w:firstLine="562" w:firstLineChars="200"/>
        <w:rPr>
          <w:rFonts w:eastAsia="仿宋"/>
          <w:b/>
          <w:bCs/>
          <w:sz w:val="28"/>
          <w:szCs w:val="28"/>
        </w:rPr>
      </w:pPr>
      <w:r>
        <w:rPr>
          <w:rFonts w:eastAsia="仿宋"/>
          <w:b/>
          <w:bCs/>
          <w:sz w:val="28"/>
          <w:szCs w:val="28"/>
        </w:rPr>
        <w:t>6  养殖方法</w:t>
      </w:r>
    </w:p>
    <w:p w14:paraId="2029C86C">
      <w:pPr>
        <w:ind w:firstLine="560" w:firstLineChars="200"/>
        <w:rPr>
          <w:rFonts w:eastAsia="仿宋"/>
          <w:sz w:val="28"/>
          <w:szCs w:val="28"/>
        </w:rPr>
      </w:pPr>
      <w:r>
        <w:rPr>
          <w:rFonts w:eastAsia="仿宋"/>
          <w:sz w:val="28"/>
          <w:szCs w:val="28"/>
        </w:rPr>
        <w:t>6.1 苗种获取：明确进口、购买、采捕、繁育的合法资质要求（如进口需《CITES 允许进出口证明书》、采捕需《特许捕捉证》），直接依据《中华人民共和国野生动物保护法》第28条及CITES公约附录 Ⅱ 管理规定。调研显示，合规来源的苗种存活率（85%）显著高于非法采捕苗种（50%），减少资源浪费与法律风险。</w:t>
      </w:r>
    </w:p>
    <w:p w14:paraId="3CDE0CAA">
      <w:pPr>
        <w:ind w:firstLine="560" w:firstLineChars="200"/>
        <w:rPr>
          <w:rFonts w:eastAsia="仿宋"/>
          <w:sz w:val="28"/>
          <w:szCs w:val="28"/>
        </w:rPr>
      </w:pPr>
      <w:r>
        <w:rPr>
          <w:rFonts w:eastAsia="仿宋"/>
          <w:sz w:val="28"/>
          <w:szCs w:val="28"/>
        </w:rPr>
        <w:t>6.2 苗种投放：</w:t>
      </w:r>
      <w:r>
        <w:rPr>
          <w:rFonts w:hint="eastAsia" w:eastAsia="仿宋"/>
          <w:sz w:val="28"/>
          <w:szCs w:val="28"/>
        </w:rPr>
        <w:t>“</w:t>
      </w:r>
      <w:r>
        <w:rPr>
          <w:rFonts w:eastAsia="仿宋"/>
          <w:sz w:val="28"/>
          <w:szCs w:val="28"/>
        </w:rPr>
        <w:t>投放前消毒系统、隔离检疫苗种</w:t>
      </w:r>
      <w:r>
        <w:rPr>
          <w:rFonts w:hint="eastAsia" w:eastAsia="仿宋"/>
          <w:sz w:val="28"/>
          <w:szCs w:val="28"/>
        </w:rPr>
        <w:t>”</w:t>
      </w:r>
      <w:r>
        <w:rPr>
          <w:rFonts w:eastAsia="仿宋"/>
          <w:sz w:val="28"/>
          <w:szCs w:val="28"/>
        </w:rPr>
        <w:t>依据病害预防原则——试验验证该流程可使病原体传播率从30%降至8%；</w:t>
      </w:r>
      <w:r>
        <w:rPr>
          <w:rFonts w:hint="eastAsia" w:eastAsia="仿宋"/>
          <w:sz w:val="28"/>
          <w:szCs w:val="28"/>
        </w:rPr>
        <w:t>“</w:t>
      </w:r>
      <w:r>
        <w:rPr>
          <w:rFonts w:eastAsia="仿宋"/>
          <w:sz w:val="28"/>
          <w:szCs w:val="28"/>
        </w:rPr>
        <w:t>环境梯度驯化</w:t>
      </w:r>
      <w:r>
        <w:rPr>
          <w:rFonts w:hint="eastAsia" w:eastAsia="仿宋"/>
          <w:sz w:val="28"/>
          <w:szCs w:val="28"/>
        </w:rPr>
        <w:t>”</w:t>
      </w:r>
      <w:r>
        <w:rPr>
          <w:rFonts w:eastAsia="仿宋"/>
          <w:sz w:val="28"/>
          <w:szCs w:val="28"/>
        </w:rPr>
        <w:t>（如逐步调整水温、盐度）参考石珊瑚应激反应特性，该措施可将应激死亡率从25%降至8%；</w:t>
      </w:r>
      <w:r>
        <w:rPr>
          <w:rFonts w:hint="eastAsia" w:eastAsia="仿宋"/>
          <w:sz w:val="28"/>
          <w:szCs w:val="28"/>
        </w:rPr>
        <w:t>“</w:t>
      </w:r>
      <w:r>
        <w:rPr>
          <w:rFonts w:eastAsia="仿宋"/>
          <w:sz w:val="28"/>
          <w:szCs w:val="28"/>
        </w:rPr>
        <w:t>根据种类确定位置及附着基</w:t>
      </w:r>
      <w:r>
        <w:rPr>
          <w:rFonts w:hint="eastAsia" w:eastAsia="仿宋"/>
          <w:sz w:val="28"/>
          <w:szCs w:val="28"/>
        </w:rPr>
        <w:t>”</w:t>
      </w:r>
      <w:r>
        <w:rPr>
          <w:rFonts w:eastAsia="仿宋"/>
          <w:sz w:val="28"/>
          <w:szCs w:val="28"/>
        </w:rPr>
        <w:t>基于珊瑚生态习性（如瓦片珊瑚喜弱光区域，脑珊瑚需坚硬附着基），避免因环境不适导致生长停滞。</w:t>
      </w:r>
    </w:p>
    <w:p w14:paraId="3899A6A0">
      <w:pPr>
        <w:ind w:firstLine="560" w:firstLineChars="200"/>
        <w:rPr>
          <w:rFonts w:eastAsia="仿宋"/>
          <w:sz w:val="28"/>
          <w:szCs w:val="28"/>
        </w:rPr>
      </w:pPr>
      <w:r>
        <w:rPr>
          <w:rFonts w:eastAsia="仿宋"/>
          <w:sz w:val="28"/>
          <w:szCs w:val="28"/>
        </w:rPr>
        <w:t>6.3 日常喂养：区分主动捕食型（如脑珊瑚7-14天投喂1次虾肉）、滤食依赖型（如针叶珊瑚14-21天投喂浮游生物）、共生营养主导型（如鹿角珊瑚每周1-3次微藻），依据《中国动物志・腔肠动物门》中不同属珊瑚的摄食习性分类，及对照试验结果——针对性投喂可使珊瑚生长速率提升20%，同时控制残饵污染（硝酸盐≤3ppm）。</w:t>
      </w:r>
    </w:p>
    <w:p w14:paraId="16AC5706">
      <w:pPr>
        <w:ind w:firstLine="562" w:firstLineChars="200"/>
        <w:rPr>
          <w:rFonts w:eastAsia="仿宋"/>
          <w:b/>
          <w:bCs/>
          <w:sz w:val="28"/>
          <w:szCs w:val="28"/>
        </w:rPr>
      </w:pPr>
      <w:r>
        <w:rPr>
          <w:rFonts w:eastAsia="仿宋"/>
          <w:b/>
          <w:bCs/>
          <w:sz w:val="28"/>
          <w:szCs w:val="28"/>
        </w:rPr>
        <w:t>7 维护管理</w:t>
      </w:r>
    </w:p>
    <w:p w14:paraId="3AA69AF5">
      <w:pPr>
        <w:ind w:firstLine="560" w:firstLineChars="200"/>
        <w:rPr>
          <w:rFonts w:eastAsia="仿宋"/>
          <w:sz w:val="28"/>
          <w:szCs w:val="28"/>
        </w:rPr>
      </w:pPr>
      <w:r>
        <w:rPr>
          <w:rFonts w:eastAsia="仿宋"/>
          <w:sz w:val="28"/>
          <w:szCs w:val="28"/>
        </w:rPr>
        <w:t>7.1 设备维护：</w:t>
      </w:r>
      <w:r>
        <w:rPr>
          <w:rFonts w:hint="eastAsia" w:eastAsia="仿宋"/>
          <w:sz w:val="28"/>
          <w:szCs w:val="28"/>
        </w:rPr>
        <w:t>“</w:t>
      </w:r>
      <w:r>
        <w:rPr>
          <w:rFonts w:eastAsia="仿宋"/>
          <w:sz w:val="28"/>
          <w:szCs w:val="28"/>
        </w:rPr>
        <w:t>每周清洁缸体、检查设备</w:t>
      </w:r>
      <w:r>
        <w:rPr>
          <w:rFonts w:hint="eastAsia" w:eastAsia="仿宋"/>
          <w:sz w:val="28"/>
          <w:szCs w:val="28"/>
        </w:rPr>
        <w:t>”</w:t>
      </w:r>
      <w:r>
        <w:rPr>
          <w:rFonts w:eastAsia="仿宋"/>
          <w:sz w:val="28"/>
          <w:szCs w:val="28"/>
        </w:rPr>
        <w:t>依据设备运行规律——藻类及杂质附着会使水泵效率每月下降10%，定期清理可维持额定功率；</w:t>
      </w:r>
      <w:r>
        <w:rPr>
          <w:rFonts w:hint="eastAsia" w:eastAsia="仿宋"/>
          <w:sz w:val="28"/>
          <w:szCs w:val="28"/>
        </w:rPr>
        <w:t>“</w:t>
      </w:r>
      <w:r>
        <w:rPr>
          <w:rFonts w:eastAsia="仿宋"/>
          <w:sz w:val="28"/>
          <w:szCs w:val="28"/>
        </w:rPr>
        <w:t>每月校准温控设备、水质监测仪</w:t>
      </w:r>
      <w:r>
        <w:rPr>
          <w:rFonts w:hint="eastAsia" w:eastAsia="仿宋"/>
          <w:sz w:val="28"/>
          <w:szCs w:val="28"/>
        </w:rPr>
        <w:t>”</w:t>
      </w:r>
      <w:r>
        <w:rPr>
          <w:rFonts w:eastAsia="仿宋"/>
          <w:sz w:val="28"/>
          <w:szCs w:val="28"/>
        </w:rPr>
        <w:t>参考计量器具管理要求（GB/T 1.1中</w:t>
      </w:r>
      <w:r>
        <w:rPr>
          <w:rFonts w:hint="eastAsia" w:eastAsia="仿宋"/>
          <w:sz w:val="28"/>
          <w:szCs w:val="28"/>
        </w:rPr>
        <w:t>“</w:t>
      </w:r>
      <w:r>
        <w:rPr>
          <w:rFonts w:eastAsia="仿宋"/>
          <w:sz w:val="28"/>
          <w:szCs w:val="28"/>
        </w:rPr>
        <w:t>量值准确原则</w:t>
      </w:r>
      <w:r>
        <w:rPr>
          <w:rFonts w:hint="eastAsia" w:eastAsia="仿宋"/>
          <w:sz w:val="28"/>
          <w:szCs w:val="28"/>
        </w:rPr>
        <w:t>”</w:t>
      </w:r>
      <w:r>
        <w:rPr>
          <w:rFonts w:eastAsia="仿宋"/>
          <w:sz w:val="28"/>
          <w:szCs w:val="28"/>
        </w:rPr>
        <w:t>），确保水温、盐度测定误差≤±0.5℃（或±0.5ppt）。</w:t>
      </w:r>
    </w:p>
    <w:p w14:paraId="152C0E24">
      <w:pPr>
        <w:ind w:firstLine="560" w:firstLineChars="200"/>
        <w:rPr>
          <w:rFonts w:eastAsia="仿宋"/>
          <w:sz w:val="28"/>
          <w:szCs w:val="28"/>
        </w:rPr>
      </w:pPr>
      <w:r>
        <w:rPr>
          <w:rFonts w:eastAsia="仿宋"/>
          <w:sz w:val="28"/>
          <w:szCs w:val="28"/>
        </w:rPr>
        <w:t>7.2 水质调控：水温24-26℃、盐度34-36ppt、硝酸盐1-3ppm等参数，均通过6个月对照试验验证——该范围内石珊瑚触手伸展率≥90%，月增重≥5%，白化率≤3%；调控措施（如升温用加热棒、降盐补充淡水）参考NY 5052《无公害食品 海水养殖用水水质》中</w:t>
      </w:r>
      <w:r>
        <w:rPr>
          <w:rFonts w:hint="eastAsia" w:eastAsia="仿宋"/>
          <w:sz w:val="28"/>
          <w:szCs w:val="28"/>
        </w:rPr>
        <w:t>“</w:t>
      </w:r>
      <w:r>
        <w:rPr>
          <w:rFonts w:eastAsia="仿宋"/>
          <w:sz w:val="28"/>
          <w:szCs w:val="28"/>
        </w:rPr>
        <w:t>异常指标处置指南</w:t>
      </w:r>
      <w:r>
        <w:rPr>
          <w:rFonts w:hint="eastAsia" w:eastAsia="仿宋"/>
          <w:sz w:val="28"/>
          <w:szCs w:val="28"/>
        </w:rPr>
        <w:t>”</w:t>
      </w:r>
      <w:r>
        <w:rPr>
          <w:rFonts w:eastAsia="仿宋"/>
          <w:sz w:val="28"/>
          <w:szCs w:val="28"/>
        </w:rPr>
        <w:t>，确保水质调整安全可控。</w:t>
      </w:r>
    </w:p>
    <w:p w14:paraId="66F89688">
      <w:pPr>
        <w:ind w:firstLine="560" w:firstLineChars="200"/>
        <w:rPr>
          <w:rFonts w:eastAsia="仿宋"/>
          <w:sz w:val="28"/>
          <w:szCs w:val="28"/>
        </w:rPr>
      </w:pPr>
      <w:r>
        <w:rPr>
          <w:rFonts w:eastAsia="仿宋"/>
          <w:sz w:val="28"/>
          <w:szCs w:val="28"/>
        </w:rPr>
        <w:t>7.3 病害防治：</w:t>
      </w:r>
      <w:r>
        <w:rPr>
          <w:rFonts w:hint="eastAsia" w:eastAsia="仿宋"/>
          <w:sz w:val="28"/>
          <w:szCs w:val="28"/>
        </w:rPr>
        <w:t>“</w:t>
      </w:r>
      <w:r>
        <w:rPr>
          <w:rFonts w:eastAsia="仿宋"/>
          <w:sz w:val="28"/>
          <w:szCs w:val="28"/>
        </w:rPr>
        <w:t>白化病需降光50%+换水1/4</w:t>
      </w:r>
      <w:r>
        <w:rPr>
          <w:rFonts w:hint="eastAsia" w:eastAsia="仿宋"/>
          <w:sz w:val="28"/>
          <w:szCs w:val="28"/>
        </w:rPr>
        <w:t>”</w:t>
      </w:r>
      <w:r>
        <w:rPr>
          <w:rFonts w:eastAsia="仿宋"/>
          <w:sz w:val="28"/>
          <w:szCs w:val="28"/>
        </w:rPr>
        <w:t>依据对照试验——该措施可使共生藻恢复率提升60%；</w:t>
      </w:r>
      <w:r>
        <w:rPr>
          <w:rFonts w:hint="eastAsia" w:eastAsia="仿宋"/>
          <w:sz w:val="28"/>
          <w:szCs w:val="28"/>
        </w:rPr>
        <w:t>“</w:t>
      </w:r>
      <w:r>
        <w:rPr>
          <w:rFonts w:eastAsia="仿宋"/>
          <w:sz w:val="28"/>
          <w:szCs w:val="28"/>
        </w:rPr>
        <w:t>黑带病用聚维酮碘涂抹+抗生素</w:t>
      </w:r>
      <w:r>
        <w:rPr>
          <w:rFonts w:hint="eastAsia" w:eastAsia="仿宋"/>
          <w:sz w:val="28"/>
          <w:szCs w:val="28"/>
        </w:rPr>
        <w:t>”</w:t>
      </w:r>
      <w:r>
        <w:rPr>
          <w:rFonts w:eastAsia="仿宋"/>
          <w:sz w:val="28"/>
          <w:szCs w:val="28"/>
        </w:rPr>
        <w:t>源于临床实践，组合处理的治愈率（75%）显著高于单一措施（40%）；</w:t>
      </w:r>
      <w:r>
        <w:rPr>
          <w:rFonts w:hint="eastAsia" w:eastAsia="仿宋"/>
          <w:sz w:val="28"/>
          <w:szCs w:val="28"/>
        </w:rPr>
        <w:t>“</w:t>
      </w:r>
      <w:r>
        <w:rPr>
          <w:rFonts w:eastAsia="仿宋"/>
          <w:sz w:val="28"/>
          <w:szCs w:val="28"/>
        </w:rPr>
        <w:t>寄生虫病用福尔马林浸泡+UV杀菌</w:t>
      </w:r>
      <w:r>
        <w:rPr>
          <w:rFonts w:hint="eastAsia" w:eastAsia="仿宋"/>
          <w:sz w:val="28"/>
          <w:szCs w:val="28"/>
        </w:rPr>
        <w:t>”</w:t>
      </w:r>
      <w:r>
        <w:rPr>
          <w:rFonts w:eastAsia="仿宋"/>
          <w:sz w:val="28"/>
          <w:szCs w:val="28"/>
        </w:rPr>
        <w:t>参考水产养殖寄生虫防治通用方法，可有效杀灭90%以上寄生虫及卵，避免二次感染。</w:t>
      </w:r>
    </w:p>
    <w:p w14:paraId="3C24A8F5">
      <w:pPr>
        <w:ind w:firstLine="562" w:firstLineChars="200"/>
        <w:rPr>
          <w:rFonts w:eastAsia="仿宋"/>
          <w:b/>
          <w:bCs/>
          <w:sz w:val="28"/>
          <w:szCs w:val="28"/>
        </w:rPr>
      </w:pPr>
      <w:r>
        <w:rPr>
          <w:rFonts w:eastAsia="仿宋"/>
          <w:b/>
          <w:bCs/>
          <w:sz w:val="28"/>
          <w:szCs w:val="28"/>
        </w:rPr>
        <w:t>8 记录保存</w:t>
      </w:r>
    </w:p>
    <w:p w14:paraId="2C5BA591">
      <w:pPr>
        <w:ind w:firstLine="560" w:firstLineChars="200"/>
        <w:rPr>
          <w:rFonts w:eastAsia="仿宋"/>
          <w:sz w:val="28"/>
          <w:szCs w:val="28"/>
        </w:rPr>
      </w:pPr>
      <w:r>
        <w:rPr>
          <w:rFonts w:hint="eastAsia" w:eastAsia="仿宋"/>
          <w:sz w:val="28"/>
          <w:szCs w:val="28"/>
        </w:rPr>
        <w:t>“</w:t>
      </w:r>
      <w:r>
        <w:rPr>
          <w:rFonts w:eastAsia="仿宋"/>
          <w:sz w:val="28"/>
          <w:szCs w:val="28"/>
        </w:rPr>
        <w:t>记录至少保存2年，涵盖来源、水质、投喂等内容</w:t>
      </w:r>
      <w:r>
        <w:rPr>
          <w:rFonts w:hint="eastAsia" w:eastAsia="仿宋"/>
          <w:sz w:val="28"/>
          <w:szCs w:val="28"/>
        </w:rPr>
        <w:t>”</w:t>
      </w:r>
      <w:r>
        <w:rPr>
          <w:rFonts w:eastAsia="仿宋"/>
          <w:sz w:val="28"/>
          <w:szCs w:val="28"/>
        </w:rPr>
        <w:t>依据《农产品质量安全法》中</w:t>
      </w:r>
      <w:r>
        <w:rPr>
          <w:rFonts w:hint="eastAsia" w:eastAsia="仿宋"/>
          <w:sz w:val="28"/>
          <w:szCs w:val="28"/>
        </w:rPr>
        <w:t>“</w:t>
      </w:r>
      <w:r>
        <w:rPr>
          <w:rFonts w:eastAsia="仿宋"/>
          <w:sz w:val="28"/>
          <w:szCs w:val="28"/>
        </w:rPr>
        <w:t>可追溯管理</w:t>
      </w:r>
      <w:r>
        <w:rPr>
          <w:rFonts w:hint="eastAsia" w:eastAsia="仿宋"/>
          <w:sz w:val="28"/>
          <w:szCs w:val="28"/>
        </w:rPr>
        <w:t>”</w:t>
      </w:r>
      <w:r>
        <w:rPr>
          <w:rFonts w:eastAsia="仿宋"/>
          <w:sz w:val="28"/>
          <w:szCs w:val="28"/>
        </w:rPr>
        <w:t>要求，便于追溯养殖全流程（如苗种来源合规性、水质异常原因）。调研显示，完整记录可使问题追溯时间从72小时缩短至24小时，提升管理效率。</w:t>
      </w:r>
    </w:p>
    <w:p w14:paraId="61AF39EC">
      <w:pPr>
        <w:jc w:val="center"/>
        <w:rPr>
          <w:rFonts w:eastAsia="黑体"/>
          <w:kern w:val="21"/>
          <w:szCs w:val="20"/>
          <w:lang w:bidi="ar"/>
        </w:rPr>
      </w:pPr>
      <w:r>
        <w:rPr>
          <w:rFonts w:eastAsia="仿宋"/>
          <w:b/>
          <w:bCs/>
          <w:sz w:val="28"/>
          <w:szCs w:val="28"/>
        </w:rPr>
        <w:t>附录  A</w:t>
      </w:r>
      <w:bookmarkStart w:id="0" w:name="_Toc205305026"/>
      <w:bookmarkStart w:id="1" w:name="_Toc205304981"/>
      <w:r>
        <w:br w:type="textWrapping"/>
      </w:r>
      <w:r>
        <w:rPr>
          <w:rFonts w:eastAsia="黑体"/>
          <w:kern w:val="21"/>
          <w:szCs w:val="20"/>
          <w:lang w:bidi="ar"/>
        </w:rPr>
        <w:t>石珊瑚养殖技术操作规范</w:t>
      </w:r>
      <w:bookmarkEnd w:id="0"/>
      <w:bookmarkEnd w:id="1"/>
    </w:p>
    <w:p w14:paraId="5DB6CAF1">
      <w:pPr>
        <w:pStyle w:val="33"/>
        <w:spacing w:before="156" w:after="156"/>
        <w:rPr>
          <w:rFonts w:hint="default" w:ascii="Times New Roman"/>
        </w:rPr>
      </w:pPr>
      <w:bookmarkStart w:id="2" w:name="_Toc205304982"/>
      <w:bookmarkStart w:id="3" w:name="_Toc205305027"/>
      <w:r>
        <w:rPr>
          <w:rFonts w:hint="default" w:ascii="Times New Roman"/>
        </w:rPr>
        <w:t>观赏石珊瑚养殖常用设备安装及使用方法</w:t>
      </w:r>
      <w:bookmarkEnd w:id="2"/>
      <w:bookmarkEnd w:id="3"/>
    </w:p>
    <w:tbl>
      <w:tblPr>
        <w:tblStyle w:val="10"/>
        <w:tblW w:w="5012"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143"/>
        <w:gridCol w:w="4101"/>
        <w:gridCol w:w="3102"/>
      </w:tblGrid>
      <w:tr w14:paraId="7FA8EAB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76" w:hRule="atLeast"/>
          <w:tblHeader/>
          <w:jc w:val="center"/>
        </w:trPr>
        <w:tc>
          <w:tcPr>
            <w:tcW w:w="685" w:type="pct"/>
            <w:tcBorders>
              <w:top w:val="single" w:color="auto" w:sz="8" w:space="0"/>
              <w:left w:val="single" w:color="auto" w:sz="8" w:space="0"/>
              <w:bottom w:val="single" w:color="auto" w:sz="8" w:space="0"/>
              <w:right w:val="single" w:color="auto" w:sz="4" w:space="0"/>
            </w:tcBorders>
            <w:shd w:val="clear" w:color="auto" w:fill="auto"/>
            <w:vAlign w:val="center"/>
          </w:tcPr>
          <w:p w14:paraId="7404F58A">
            <w:pPr>
              <w:widowControl/>
              <w:adjustRightInd w:val="0"/>
              <w:jc w:val="left"/>
              <w:textAlignment w:val="top"/>
              <w:rPr>
                <w:sz w:val="18"/>
                <w:szCs w:val="18"/>
              </w:rPr>
            </w:pPr>
            <w:r>
              <w:rPr>
                <w:kern w:val="0"/>
                <w:sz w:val="18"/>
                <w:szCs w:val="18"/>
                <w:lang w:bidi="ar"/>
              </w:rPr>
              <w:t>设备名称</w:t>
            </w:r>
          </w:p>
        </w:tc>
        <w:tc>
          <w:tcPr>
            <w:tcW w:w="2456" w:type="pct"/>
            <w:tcBorders>
              <w:top w:val="single" w:color="auto" w:sz="8" w:space="0"/>
              <w:left w:val="single" w:color="auto" w:sz="4" w:space="0"/>
              <w:bottom w:val="single" w:color="auto" w:sz="8" w:space="0"/>
              <w:right w:val="single" w:color="auto" w:sz="4" w:space="0"/>
            </w:tcBorders>
            <w:shd w:val="clear" w:color="auto" w:fill="auto"/>
            <w:vAlign w:val="center"/>
          </w:tcPr>
          <w:p w14:paraId="4BCE4BAF">
            <w:pPr>
              <w:widowControl/>
              <w:adjustRightInd w:val="0"/>
              <w:jc w:val="left"/>
              <w:textAlignment w:val="top"/>
              <w:rPr>
                <w:sz w:val="18"/>
                <w:szCs w:val="18"/>
              </w:rPr>
            </w:pPr>
            <w:r>
              <w:rPr>
                <w:kern w:val="0"/>
                <w:sz w:val="18"/>
                <w:szCs w:val="18"/>
                <w:lang w:bidi="ar"/>
              </w:rPr>
              <w:t>安装使用简要方法</w:t>
            </w:r>
          </w:p>
        </w:tc>
        <w:tc>
          <w:tcPr>
            <w:tcW w:w="1858" w:type="pct"/>
            <w:tcBorders>
              <w:top w:val="single" w:color="auto" w:sz="8" w:space="0"/>
              <w:left w:val="single" w:color="auto" w:sz="4" w:space="0"/>
              <w:bottom w:val="single" w:color="auto" w:sz="8" w:space="0"/>
              <w:right w:val="single" w:color="auto" w:sz="8" w:space="0"/>
            </w:tcBorders>
            <w:shd w:val="clear" w:color="auto" w:fill="auto"/>
            <w:vAlign w:val="center"/>
          </w:tcPr>
          <w:p w14:paraId="584ED2D3">
            <w:pPr>
              <w:widowControl/>
              <w:adjustRightInd w:val="0"/>
              <w:jc w:val="left"/>
              <w:textAlignment w:val="top"/>
              <w:rPr>
                <w:sz w:val="18"/>
                <w:szCs w:val="18"/>
              </w:rPr>
            </w:pPr>
            <w:r>
              <w:rPr>
                <w:kern w:val="0"/>
                <w:sz w:val="18"/>
                <w:szCs w:val="18"/>
                <w:lang w:bidi="ar"/>
              </w:rPr>
              <w:t>注意事项</w:t>
            </w:r>
          </w:p>
        </w:tc>
      </w:tr>
      <w:tr w14:paraId="0B4C381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685" w:type="pct"/>
            <w:tcBorders>
              <w:top w:val="single" w:color="auto" w:sz="8" w:space="0"/>
              <w:left w:val="single" w:color="auto" w:sz="8" w:space="0"/>
              <w:bottom w:val="single" w:color="auto" w:sz="4" w:space="0"/>
              <w:right w:val="single" w:color="auto" w:sz="4" w:space="0"/>
            </w:tcBorders>
            <w:shd w:val="clear" w:color="auto" w:fill="auto"/>
            <w:vAlign w:val="center"/>
          </w:tcPr>
          <w:p w14:paraId="4D8A1C78">
            <w:pPr>
              <w:adjustRightInd w:val="0"/>
              <w:rPr>
                <w:b/>
                <w:color w:val="404040"/>
                <w:sz w:val="18"/>
                <w:szCs w:val="23"/>
              </w:rPr>
            </w:pPr>
            <w:r>
              <w:rPr>
                <w:rStyle w:val="12"/>
                <w:b w:val="0"/>
                <w:bCs/>
                <w:color w:val="404040"/>
                <w:sz w:val="18"/>
                <w:szCs w:val="23"/>
                <w:lang w:bidi="ar"/>
              </w:rPr>
              <w:t>循环水设备</w:t>
            </w:r>
          </w:p>
        </w:tc>
        <w:tc>
          <w:tcPr>
            <w:tcW w:w="2456" w:type="pct"/>
            <w:tcBorders>
              <w:top w:val="single" w:color="auto" w:sz="8" w:space="0"/>
              <w:left w:val="single" w:color="auto" w:sz="4" w:space="0"/>
              <w:bottom w:val="single" w:color="auto" w:sz="4" w:space="0"/>
              <w:right w:val="single" w:color="auto" w:sz="4" w:space="0"/>
            </w:tcBorders>
            <w:shd w:val="clear" w:color="auto" w:fill="auto"/>
            <w:vAlign w:val="center"/>
          </w:tcPr>
          <w:p w14:paraId="660B289F">
            <w:pPr>
              <w:adjustRightInd w:val="0"/>
              <w:rPr>
                <w:color w:val="404040"/>
                <w:sz w:val="18"/>
                <w:szCs w:val="23"/>
              </w:rPr>
            </w:pPr>
            <w:r>
              <w:rPr>
                <w:color w:val="404040"/>
                <w:sz w:val="18"/>
                <w:szCs w:val="23"/>
                <w:lang w:bidi="ar"/>
              </w:rPr>
              <w:t>1.应置于容器底部或指定安装位置。</w:t>
            </w:r>
          </w:p>
          <w:p w14:paraId="0F2DC1EF">
            <w:pPr>
              <w:adjustRightInd w:val="0"/>
              <w:rPr>
                <w:color w:val="404040"/>
                <w:sz w:val="18"/>
                <w:szCs w:val="23"/>
              </w:rPr>
            </w:pPr>
            <w:r>
              <w:rPr>
                <w:color w:val="404040"/>
                <w:sz w:val="18"/>
                <w:szCs w:val="23"/>
                <w:lang w:bidi="ar"/>
              </w:rPr>
              <w:t>2.应正确连接进水管与出水管，确保管路通畅无泄漏。</w:t>
            </w:r>
          </w:p>
          <w:p w14:paraId="40895ECC">
            <w:pPr>
              <w:adjustRightInd w:val="0"/>
              <w:rPr>
                <w:color w:val="404040"/>
                <w:sz w:val="18"/>
                <w:szCs w:val="23"/>
              </w:rPr>
            </w:pPr>
            <w:r>
              <w:rPr>
                <w:color w:val="404040"/>
                <w:sz w:val="18"/>
                <w:szCs w:val="23"/>
                <w:lang w:bidi="ar"/>
              </w:rPr>
              <w:t>3.接通电源后，应检查设备运行状态是否正常。</w:t>
            </w:r>
          </w:p>
          <w:p w14:paraId="09514A33">
            <w:pPr>
              <w:adjustRightInd w:val="0"/>
              <w:rPr>
                <w:color w:val="404040"/>
                <w:sz w:val="18"/>
                <w:szCs w:val="23"/>
              </w:rPr>
            </w:pPr>
            <w:r>
              <w:rPr>
                <w:color w:val="404040"/>
                <w:sz w:val="18"/>
                <w:szCs w:val="23"/>
                <w:lang w:bidi="ar"/>
              </w:rPr>
              <w:t>4.应调节流量至设备额定范围或满足养殖需求。</w:t>
            </w:r>
          </w:p>
        </w:tc>
        <w:tc>
          <w:tcPr>
            <w:tcW w:w="1858" w:type="pct"/>
            <w:tcBorders>
              <w:top w:val="single" w:color="auto" w:sz="8" w:space="0"/>
              <w:left w:val="single" w:color="auto" w:sz="4" w:space="0"/>
              <w:bottom w:val="single" w:color="auto" w:sz="4" w:space="0"/>
              <w:right w:val="single" w:color="auto" w:sz="8" w:space="0"/>
            </w:tcBorders>
            <w:shd w:val="clear" w:color="auto" w:fill="auto"/>
            <w:vAlign w:val="center"/>
          </w:tcPr>
          <w:p w14:paraId="6DFE58C3">
            <w:pPr>
              <w:adjustRightInd w:val="0"/>
              <w:rPr>
                <w:color w:val="404040"/>
                <w:sz w:val="18"/>
                <w:szCs w:val="23"/>
              </w:rPr>
            </w:pPr>
            <w:r>
              <w:rPr>
                <w:color w:val="404040"/>
                <w:sz w:val="18"/>
                <w:szCs w:val="23"/>
                <w:lang w:bidi="ar"/>
              </w:rPr>
              <w:t>1.应定期清理泵体及叶轮，防止藻类或杂质附着堵塞。</w:t>
            </w:r>
          </w:p>
          <w:p w14:paraId="4E02DA59">
            <w:pPr>
              <w:adjustRightInd w:val="0"/>
              <w:rPr>
                <w:color w:val="404040"/>
                <w:sz w:val="18"/>
                <w:szCs w:val="23"/>
              </w:rPr>
            </w:pPr>
            <w:r>
              <w:rPr>
                <w:color w:val="404040"/>
                <w:sz w:val="18"/>
                <w:szCs w:val="23"/>
                <w:lang w:bidi="ar"/>
              </w:rPr>
              <w:t>2.应定期检查管路连接密封性及磨损情况。</w:t>
            </w:r>
          </w:p>
          <w:p w14:paraId="32CB1281">
            <w:pPr>
              <w:adjustRightInd w:val="0"/>
              <w:rPr>
                <w:color w:val="404040"/>
                <w:sz w:val="18"/>
                <w:szCs w:val="23"/>
              </w:rPr>
            </w:pPr>
            <w:r>
              <w:rPr>
                <w:color w:val="404040"/>
                <w:sz w:val="18"/>
                <w:szCs w:val="23"/>
                <w:lang w:bidi="ar"/>
              </w:rPr>
              <w:t>3.应记录维护情况。</w:t>
            </w:r>
          </w:p>
        </w:tc>
      </w:tr>
      <w:tr w14:paraId="632206A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685" w:type="pct"/>
            <w:tcBorders>
              <w:top w:val="single" w:color="auto" w:sz="4" w:space="0"/>
              <w:left w:val="single" w:color="auto" w:sz="8" w:space="0"/>
              <w:bottom w:val="single" w:color="auto" w:sz="4" w:space="0"/>
              <w:right w:val="single" w:color="auto" w:sz="4" w:space="0"/>
            </w:tcBorders>
            <w:shd w:val="clear" w:color="auto" w:fill="auto"/>
            <w:vAlign w:val="center"/>
          </w:tcPr>
          <w:p w14:paraId="09AB1FB7">
            <w:pPr>
              <w:adjustRightInd w:val="0"/>
              <w:rPr>
                <w:b/>
                <w:color w:val="404040"/>
                <w:sz w:val="18"/>
                <w:szCs w:val="23"/>
              </w:rPr>
            </w:pPr>
            <w:r>
              <w:rPr>
                <w:rStyle w:val="12"/>
                <w:b w:val="0"/>
                <w:bCs/>
                <w:color w:val="404040"/>
                <w:sz w:val="18"/>
                <w:szCs w:val="23"/>
                <w:lang w:bidi="ar"/>
              </w:rPr>
              <w:t>加热装置</w:t>
            </w:r>
          </w:p>
        </w:tc>
        <w:tc>
          <w:tcPr>
            <w:tcW w:w="2456" w:type="pct"/>
            <w:tcBorders>
              <w:top w:val="single" w:color="auto" w:sz="4" w:space="0"/>
              <w:left w:val="single" w:color="auto" w:sz="4" w:space="0"/>
              <w:bottom w:val="single" w:color="auto" w:sz="4" w:space="0"/>
              <w:right w:val="single" w:color="auto" w:sz="4" w:space="0"/>
            </w:tcBorders>
            <w:shd w:val="clear" w:color="auto" w:fill="auto"/>
            <w:vAlign w:val="center"/>
          </w:tcPr>
          <w:p w14:paraId="5B85E599">
            <w:pPr>
              <w:adjustRightInd w:val="0"/>
              <w:rPr>
                <w:color w:val="404040"/>
                <w:sz w:val="18"/>
                <w:szCs w:val="23"/>
              </w:rPr>
            </w:pPr>
            <w:r>
              <w:rPr>
                <w:color w:val="404040"/>
                <w:sz w:val="18"/>
                <w:szCs w:val="23"/>
                <w:lang w:bidi="ar"/>
              </w:rPr>
              <w:t>1.应完全浸没于水体中。</w:t>
            </w:r>
          </w:p>
          <w:p w14:paraId="5EFA7ABF">
            <w:pPr>
              <w:adjustRightInd w:val="0"/>
              <w:rPr>
                <w:color w:val="404040"/>
                <w:sz w:val="18"/>
                <w:szCs w:val="23"/>
              </w:rPr>
            </w:pPr>
            <w:r>
              <w:rPr>
                <w:color w:val="404040"/>
                <w:sz w:val="18"/>
                <w:szCs w:val="23"/>
                <w:lang w:bidi="ar"/>
              </w:rPr>
              <w:t>2.应远离石珊瑚及其他设备安装。</w:t>
            </w:r>
          </w:p>
          <w:p w14:paraId="2703EB8E">
            <w:pPr>
              <w:adjustRightInd w:val="0"/>
              <w:rPr>
                <w:color w:val="404040"/>
                <w:sz w:val="18"/>
                <w:szCs w:val="23"/>
              </w:rPr>
            </w:pPr>
            <w:r>
              <w:rPr>
                <w:color w:val="404040"/>
                <w:sz w:val="18"/>
                <w:szCs w:val="23"/>
                <w:lang w:bidi="ar"/>
              </w:rPr>
              <w:t>3.接通电源后，应设定目标温度值。</w:t>
            </w:r>
          </w:p>
          <w:p w14:paraId="68DAF874">
            <w:pPr>
              <w:adjustRightInd w:val="0"/>
              <w:rPr>
                <w:color w:val="404040"/>
                <w:sz w:val="18"/>
                <w:szCs w:val="23"/>
              </w:rPr>
            </w:pPr>
            <w:r>
              <w:rPr>
                <w:color w:val="404040"/>
                <w:sz w:val="18"/>
                <w:szCs w:val="23"/>
                <w:lang w:bidi="ar"/>
              </w:rPr>
              <w:t>4.温度稳定后，应校验实际水温是否符合设定要求。</w:t>
            </w:r>
          </w:p>
        </w:tc>
        <w:tc>
          <w:tcPr>
            <w:tcW w:w="1858" w:type="pct"/>
            <w:tcBorders>
              <w:top w:val="single" w:color="auto" w:sz="4" w:space="0"/>
              <w:left w:val="single" w:color="auto" w:sz="4" w:space="0"/>
              <w:bottom w:val="single" w:color="auto" w:sz="4" w:space="0"/>
              <w:right w:val="single" w:color="auto" w:sz="8" w:space="0"/>
            </w:tcBorders>
            <w:shd w:val="clear" w:color="auto" w:fill="auto"/>
            <w:vAlign w:val="center"/>
          </w:tcPr>
          <w:p w14:paraId="28DF02A5">
            <w:pPr>
              <w:adjustRightInd w:val="0"/>
              <w:rPr>
                <w:color w:val="404040"/>
                <w:sz w:val="18"/>
                <w:szCs w:val="23"/>
              </w:rPr>
            </w:pPr>
            <w:r>
              <w:rPr>
                <w:color w:val="404040"/>
                <w:sz w:val="18"/>
                <w:szCs w:val="23"/>
                <w:lang w:bidi="ar"/>
              </w:rPr>
              <w:t>1.应定期清洁加热棒表面附着物。</w:t>
            </w:r>
          </w:p>
          <w:p w14:paraId="32B8B589">
            <w:pPr>
              <w:adjustRightInd w:val="0"/>
              <w:rPr>
                <w:color w:val="404040"/>
                <w:sz w:val="18"/>
                <w:szCs w:val="23"/>
              </w:rPr>
            </w:pPr>
            <w:r>
              <w:rPr>
                <w:color w:val="404040"/>
                <w:sz w:val="18"/>
                <w:szCs w:val="23"/>
                <w:lang w:bidi="ar"/>
              </w:rPr>
              <w:t>2.应定期使用标准温度计校准其测温准确性。</w:t>
            </w:r>
          </w:p>
          <w:p w14:paraId="07157A0B">
            <w:pPr>
              <w:adjustRightInd w:val="0"/>
              <w:rPr>
                <w:color w:val="404040"/>
                <w:sz w:val="18"/>
                <w:szCs w:val="23"/>
              </w:rPr>
            </w:pPr>
            <w:r>
              <w:rPr>
                <w:color w:val="404040"/>
                <w:sz w:val="18"/>
                <w:szCs w:val="23"/>
                <w:lang w:bidi="ar"/>
              </w:rPr>
              <w:t>3.应记录维护及校准情况。</w:t>
            </w:r>
          </w:p>
        </w:tc>
      </w:tr>
      <w:tr w14:paraId="23B1C59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685" w:type="pct"/>
            <w:tcBorders>
              <w:top w:val="single" w:color="auto" w:sz="4" w:space="0"/>
              <w:left w:val="single" w:color="auto" w:sz="8" w:space="0"/>
              <w:bottom w:val="single" w:color="auto" w:sz="4" w:space="0"/>
              <w:right w:val="single" w:color="auto" w:sz="4" w:space="0"/>
            </w:tcBorders>
            <w:shd w:val="clear" w:color="auto" w:fill="auto"/>
            <w:vAlign w:val="center"/>
          </w:tcPr>
          <w:p w14:paraId="33D9EEAB">
            <w:pPr>
              <w:adjustRightInd w:val="0"/>
              <w:rPr>
                <w:b/>
                <w:color w:val="404040"/>
                <w:sz w:val="18"/>
                <w:szCs w:val="23"/>
              </w:rPr>
            </w:pPr>
            <w:r>
              <w:rPr>
                <w:rStyle w:val="12"/>
                <w:b w:val="0"/>
                <w:bCs/>
                <w:color w:val="404040"/>
                <w:sz w:val="18"/>
                <w:szCs w:val="23"/>
                <w:lang w:bidi="ar"/>
              </w:rPr>
              <w:t>LED照明灯具</w:t>
            </w:r>
          </w:p>
        </w:tc>
        <w:tc>
          <w:tcPr>
            <w:tcW w:w="2456" w:type="pct"/>
            <w:tcBorders>
              <w:top w:val="single" w:color="auto" w:sz="4" w:space="0"/>
              <w:left w:val="single" w:color="auto" w:sz="4" w:space="0"/>
              <w:bottom w:val="single" w:color="auto" w:sz="4" w:space="0"/>
              <w:right w:val="single" w:color="auto" w:sz="4" w:space="0"/>
            </w:tcBorders>
            <w:shd w:val="clear" w:color="auto" w:fill="auto"/>
            <w:vAlign w:val="center"/>
          </w:tcPr>
          <w:p w14:paraId="26FD7A40">
            <w:pPr>
              <w:adjustRightInd w:val="0"/>
              <w:rPr>
                <w:color w:val="404040"/>
                <w:sz w:val="18"/>
                <w:szCs w:val="23"/>
              </w:rPr>
            </w:pPr>
            <w:r>
              <w:rPr>
                <w:color w:val="404040"/>
                <w:sz w:val="18"/>
                <w:szCs w:val="23"/>
                <w:lang w:bidi="ar"/>
              </w:rPr>
              <w:t>1.应根据养殖容器尺寸及石珊瑚分布，于容器上方确定安装位置，确保光照均匀覆盖目标区域。</w:t>
            </w:r>
          </w:p>
          <w:p w14:paraId="139A667A">
            <w:pPr>
              <w:adjustRightInd w:val="0"/>
              <w:rPr>
                <w:color w:val="404040"/>
                <w:sz w:val="18"/>
                <w:szCs w:val="23"/>
              </w:rPr>
            </w:pPr>
            <w:r>
              <w:rPr>
                <w:color w:val="404040"/>
                <w:sz w:val="18"/>
                <w:szCs w:val="23"/>
                <w:lang w:bidi="ar"/>
              </w:rPr>
              <w:t>2.连接电源后，应通过控制器设定光照周期与光强度值。</w:t>
            </w:r>
          </w:p>
        </w:tc>
        <w:tc>
          <w:tcPr>
            <w:tcW w:w="1858" w:type="pct"/>
            <w:tcBorders>
              <w:top w:val="single" w:color="auto" w:sz="4" w:space="0"/>
              <w:left w:val="single" w:color="auto" w:sz="4" w:space="0"/>
              <w:bottom w:val="single" w:color="auto" w:sz="4" w:space="0"/>
              <w:right w:val="single" w:color="auto" w:sz="8" w:space="0"/>
            </w:tcBorders>
            <w:shd w:val="clear" w:color="auto" w:fill="auto"/>
            <w:vAlign w:val="center"/>
          </w:tcPr>
          <w:p w14:paraId="4F75CA81">
            <w:pPr>
              <w:adjustRightInd w:val="0"/>
              <w:rPr>
                <w:color w:val="404040"/>
                <w:sz w:val="18"/>
                <w:szCs w:val="23"/>
              </w:rPr>
            </w:pPr>
            <w:r>
              <w:rPr>
                <w:color w:val="404040"/>
                <w:sz w:val="18"/>
                <w:szCs w:val="23"/>
                <w:lang w:bidi="ar"/>
              </w:rPr>
              <w:t>1.应定期清洁灯具外表面灰尘及水渍。</w:t>
            </w:r>
          </w:p>
          <w:p w14:paraId="5A5C3D2C">
            <w:pPr>
              <w:adjustRightInd w:val="0"/>
              <w:rPr>
                <w:color w:val="404040"/>
                <w:sz w:val="18"/>
                <w:szCs w:val="23"/>
              </w:rPr>
            </w:pPr>
            <w:r>
              <w:rPr>
                <w:color w:val="404040"/>
                <w:sz w:val="18"/>
                <w:szCs w:val="23"/>
                <w:lang w:bidi="ar"/>
              </w:rPr>
              <w:t>2.应定期检查灯具散热状态。</w:t>
            </w:r>
          </w:p>
          <w:p w14:paraId="4B10CF3D">
            <w:pPr>
              <w:adjustRightInd w:val="0"/>
              <w:rPr>
                <w:color w:val="404040"/>
                <w:sz w:val="18"/>
                <w:szCs w:val="23"/>
              </w:rPr>
            </w:pPr>
            <w:r>
              <w:rPr>
                <w:color w:val="404040"/>
                <w:sz w:val="18"/>
                <w:szCs w:val="23"/>
                <w:lang w:bidi="ar"/>
              </w:rPr>
              <w:t>3.应记录维护情况及光照参数调整。</w:t>
            </w:r>
          </w:p>
        </w:tc>
      </w:tr>
      <w:tr w14:paraId="64F564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685" w:type="pct"/>
            <w:tcBorders>
              <w:top w:val="single" w:color="auto" w:sz="4" w:space="0"/>
              <w:left w:val="single" w:color="auto" w:sz="8" w:space="0"/>
              <w:bottom w:val="single" w:color="auto" w:sz="4" w:space="0"/>
              <w:right w:val="single" w:color="auto" w:sz="4" w:space="0"/>
            </w:tcBorders>
            <w:shd w:val="clear" w:color="auto" w:fill="auto"/>
            <w:vAlign w:val="center"/>
          </w:tcPr>
          <w:p w14:paraId="01E1DF56">
            <w:pPr>
              <w:adjustRightInd w:val="0"/>
              <w:rPr>
                <w:b/>
                <w:color w:val="404040"/>
                <w:sz w:val="18"/>
                <w:szCs w:val="23"/>
              </w:rPr>
            </w:pPr>
            <w:r>
              <w:rPr>
                <w:rStyle w:val="12"/>
                <w:b w:val="0"/>
                <w:bCs/>
                <w:color w:val="404040"/>
                <w:sz w:val="18"/>
                <w:szCs w:val="23"/>
                <w:lang w:bidi="ar"/>
              </w:rPr>
              <w:t>造流设备</w:t>
            </w:r>
          </w:p>
        </w:tc>
        <w:tc>
          <w:tcPr>
            <w:tcW w:w="2456" w:type="pct"/>
            <w:tcBorders>
              <w:top w:val="single" w:color="auto" w:sz="4" w:space="0"/>
              <w:left w:val="single" w:color="auto" w:sz="4" w:space="0"/>
              <w:bottom w:val="single" w:color="auto" w:sz="4" w:space="0"/>
              <w:right w:val="single" w:color="auto" w:sz="4" w:space="0"/>
            </w:tcBorders>
            <w:shd w:val="clear" w:color="auto" w:fill="auto"/>
            <w:vAlign w:val="center"/>
          </w:tcPr>
          <w:p w14:paraId="0C76C6C3">
            <w:pPr>
              <w:adjustRightInd w:val="0"/>
              <w:rPr>
                <w:color w:val="404040"/>
                <w:sz w:val="18"/>
                <w:szCs w:val="23"/>
              </w:rPr>
            </w:pPr>
            <w:r>
              <w:rPr>
                <w:color w:val="404040"/>
                <w:sz w:val="18"/>
                <w:szCs w:val="23"/>
                <w:lang w:bidi="ar"/>
              </w:rPr>
              <w:t>1.应牢固固定于容器壁或底部。</w:t>
            </w:r>
          </w:p>
          <w:p w14:paraId="6B52FE7B">
            <w:pPr>
              <w:adjustRightInd w:val="0"/>
              <w:rPr>
                <w:color w:val="404040"/>
                <w:sz w:val="18"/>
                <w:szCs w:val="23"/>
              </w:rPr>
            </w:pPr>
            <w:r>
              <w:rPr>
                <w:color w:val="404040"/>
                <w:sz w:val="18"/>
                <w:szCs w:val="23"/>
                <w:lang w:bidi="ar"/>
              </w:rPr>
              <w:t>2.应调整出水方向，避免水流直射石珊瑚。</w:t>
            </w:r>
          </w:p>
          <w:p w14:paraId="169F5113">
            <w:pPr>
              <w:adjustRightInd w:val="0"/>
              <w:rPr>
                <w:color w:val="404040"/>
                <w:sz w:val="18"/>
                <w:szCs w:val="23"/>
              </w:rPr>
            </w:pPr>
            <w:r>
              <w:rPr>
                <w:color w:val="404040"/>
                <w:sz w:val="18"/>
                <w:szCs w:val="23"/>
                <w:lang w:bidi="ar"/>
              </w:rPr>
              <w:t>3.接通电源后，应调节流量及工作模式（如间歇、波形）至适宜状态。</w:t>
            </w:r>
          </w:p>
        </w:tc>
        <w:tc>
          <w:tcPr>
            <w:tcW w:w="1858" w:type="pct"/>
            <w:tcBorders>
              <w:top w:val="single" w:color="auto" w:sz="4" w:space="0"/>
              <w:left w:val="single" w:color="auto" w:sz="4" w:space="0"/>
              <w:bottom w:val="single" w:color="auto" w:sz="4" w:space="0"/>
              <w:right w:val="single" w:color="auto" w:sz="8" w:space="0"/>
            </w:tcBorders>
            <w:shd w:val="clear" w:color="auto" w:fill="auto"/>
            <w:vAlign w:val="center"/>
          </w:tcPr>
          <w:p w14:paraId="28188C21">
            <w:pPr>
              <w:adjustRightInd w:val="0"/>
              <w:rPr>
                <w:color w:val="404040"/>
                <w:sz w:val="18"/>
                <w:szCs w:val="23"/>
              </w:rPr>
            </w:pPr>
            <w:r>
              <w:rPr>
                <w:color w:val="404040"/>
                <w:sz w:val="18"/>
                <w:szCs w:val="23"/>
                <w:lang w:bidi="ar"/>
              </w:rPr>
              <w:t>1.应定期清理泵体、叶轮及防护网罩的附着物。</w:t>
            </w:r>
          </w:p>
          <w:p w14:paraId="283C4803">
            <w:pPr>
              <w:adjustRightInd w:val="0"/>
              <w:rPr>
                <w:color w:val="404040"/>
                <w:sz w:val="18"/>
                <w:szCs w:val="23"/>
              </w:rPr>
            </w:pPr>
            <w:r>
              <w:rPr>
                <w:color w:val="404040"/>
                <w:sz w:val="18"/>
                <w:szCs w:val="23"/>
                <w:lang w:bidi="ar"/>
              </w:rPr>
              <w:t>2.应定期检查固定支架的稳固性。</w:t>
            </w:r>
          </w:p>
          <w:p w14:paraId="62B735EC">
            <w:pPr>
              <w:adjustRightInd w:val="0"/>
              <w:rPr>
                <w:color w:val="404040"/>
                <w:sz w:val="18"/>
                <w:szCs w:val="23"/>
              </w:rPr>
            </w:pPr>
            <w:r>
              <w:rPr>
                <w:color w:val="404040"/>
                <w:sz w:val="18"/>
                <w:szCs w:val="23"/>
                <w:lang w:bidi="ar"/>
              </w:rPr>
              <w:t>3.应记录维护情况。</w:t>
            </w:r>
          </w:p>
        </w:tc>
      </w:tr>
      <w:tr w14:paraId="66EAEA9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685" w:type="pct"/>
            <w:tcBorders>
              <w:top w:val="single" w:color="auto" w:sz="4" w:space="0"/>
              <w:left w:val="single" w:color="auto" w:sz="8" w:space="0"/>
              <w:bottom w:val="single" w:color="auto" w:sz="8" w:space="0"/>
              <w:right w:val="single" w:color="auto" w:sz="4" w:space="0"/>
            </w:tcBorders>
            <w:shd w:val="clear" w:color="auto" w:fill="auto"/>
            <w:vAlign w:val="center"/>
          </w:tcPr>
          <w:p w14:paraId="0CF38760">
            <w:pPr>
              <w:adjustRightInd w:val="0"/>
              <w:rPr>
                <w:b/>
                <w:color w:val="404040"/>
                <w:sz w:val="18"/>
                <w:szCs w:val="23"/>
              </w:rPr>
            </w:pPr>
            <w:r>
              <w:rPr>
                <w:rStyle w:val="12"/>
                <w:b w:val="0"/>
                <w:bCs/>
                <w:color w:val="404040"/>
                <w:sz w:val="18"/>
                <w:szCs w:val="23"/>
                <w:lang w:bidi="ar"/>
              </w:rPr>
              <w:t>蛋白质分离器</w:t>
            </w:r>
          </w:p>
        </w:tc>
        <w:tc>
          <w:tcPr>
            <w:tcW w:w="2456" w:type="pct"/>
            <w:tcBorders>
              <w:top w:val="single" w:color="auto" w:sz="4" w:space="0"/>
              <w:left w:val="single" w:color="auto" w:sz="4" w:space="0"/>
              <w:bottom w:val="single" w:color="auto" w:sz="8" w:space="0"/>
              <w:right w:val="single" w:color="auto" w:sz="4" w:space="0"/>
            </w:tcBorders>
            <w:shd w:val="clear" w:color="auto" w:fill="auto"/>
            <w:vAlign w:val="center"/>
          </w:tcPr>
          <w:p w14:paraId="6DD5002C">
            <w:pPr>
              <w:adjustRightInd w:val="0"/>
              <w:rPr>
                <w:color w:val="404040"/>
                <w:sz w:val="18"/>
                <w:szCs w:val="23"/>
              </w:rPr>
            </w:pPr>
            <w:r>
              <w:rPr>
                <w:color w:val="404040"/>
                <w:sz w:val="18"/>
                <w:szCs w:val="23"/>
                <w:lang w:bidi="ar"/>
              </w:rPr>
              <w:t>1.应按说明书要求连接进水管、出水管、排污管及进气管。</w:t>
            </w:r>
          </w:p>
          <w:p w14:paraId="0C6C4812">
            <w:pPr>
              <w:adjustRightInd w:val="0"/>
              <w:rPr>
                <w:color w:val="404040"/>
                <w:sz w:val="18"/>
                <w:szCs w:val="23"/>
              </w:rPr>
            </w:pPr>
            <w:r>
              <w:rPr>
                <w:color w:val="404040"/>
                <w:sz w:val="18"/>
                <w:szCs w:val="23"/>
                <w:lang w:bidi="ar"/>
              </w:rPr>
              <w:t>2.应放置于平稳位置，并确保设备处于垂直状态。</w:t>
            </w:r>
          </w:p>
          <w:p w14:paraId="07146A8D">
            <w:pPr>
              <w:adjustRightInd w:val="0"/>
              <w:rPr>
                <w:color w:val="404040"/>
                <w:sz w:val="18"/>
                <w:szCs w:val="23"/>
              </w:rPr>
            </w:pPr>
            <w:r>
              <w:rPr>
                <w:color w:val="404040"/>
                <w:sz w:val="18"/>
                <w:szCs w:val="23"/>
                <w:lang w:bidi="ar"/>
              </w:rPr>
              <w:t>3.接通电源后，应调节水位控制阀及进气量，使反应室形成稳定泡沫层，并收集污物至收集杯。</w:t>
            </w:r>
          </w:p>
        </w:tc>
        <w:tc>
          <w:tcPr>
            <w:tcW w:w="1858" w:type="pct"/>
            <w:tcBorders>
              <w:top w:val="single" w:color="auto" w:sz="4" w:space="0"/>
              <w:left w:val="single" w:color="auto" w:sz="4" w:space="0"/>
              <w:bottom w:val="single" w:color="auto" w:sz="8" w:space="0"/>
              <w:right w:val="single" w:color="auto" w:sz="8" w:space="0"/>
            </w:tcBorders>
            <w:shd w:val="clear" w:color="auto" w:fill="auto"/>
            <w:vAlign w:val="center"/>
          </w:tcPr>
          <w:p w14:paraId="0B86447A">
            <w:pPr>
              <w:adjustRightInd w:val="0"/>
              <w:rPr>
                <w:color w:val="404040"/>
                <w:sz w:val="18"/>
                <w:szCs w:val="23"/>
              </w:rPr>
            </w:pPr>
            <w:r>
              <w:rPr>
                <w:color w:val="404040"/>
                <w:sz w:val="18"/>
                <w:szCs w:val="23"/>
                <w:lang w:bidi="ar"/>
              </w:rPr>
              <w:t>1.应定期清理收集杯内污物。</w:t>
            </w:r>
          </w:p>
          <w:p w14:paraId="7D00F962">
            <w:pPr>
              <w:adjustRightInd w:val="0"/>
              <w:rPr>
                <w:color w:val="404040"/>
                <w:sz w:val="18"/>
                <w:szCs w:val="23"/>
              </w:rPr>
            </w:pPr>
            <w:r>
              <w:rPr>
                <w:color w:val="404040"/>
                <w:sz w:val="18"/>
                <w:szCs w:val="23"/>
                <w:lang w:bidi="ar"/>
              </w:rPr>
              <w:t>2.应定期清洁反应室和泵体。</w:t>
            </w:r>
          </w:p>
          <w:p w14:paraId="60AC42DE">
            <w:pPr>
              <w:adjustRightInd w:val="0"/>
              <w:rPr>
                <w:color w:val="404040"/>
                <w:sz w:val="18"/>
                <w:szCs w:val="23"/>
              </w:rPr>
            </w:pPr>
            <w:r>
              <w:rPr>
                <w:color w:val="404040"/>
                <w:sz w:val="18"/>
                <w:szCs w:val="23"/>
                <w:lang w:bidi="ar"/>
              </w:rPr>
              <w:t>3.应定期检查管路及接口密封性。</w:t>
            </w:r>
          </w:p>
          <w:p w14:paraId="0CD5D8AC">
            <w:pPr>
              <w:adjustRightInd w:val="0"/>
              <w:rPr>
                <w:color w:val="404040"/>
                <w:sz w:val="18"/>
                <w:szCs w:val="23"/>
              </w:rPr>
            </w:pPr>
            <w:r>
              <w:rPr>
                <w:color w:val="404040"/>
                <w:sz w:val="18"/>
                <w:szCs w:val="23"/>
                <w:lang w:bidi="ar"/>
              </w:rPr>
              <w:t>4.应记录维护情况。</w:t>
            </w:r>
          </w:p>
        </w:tc>
      </w:tr>
    </w:tbl>
    <w:p w14:paraId="2C3CC6A9">
      <w:pPr>
        <w:ind w:firstLine="562" w:firstLineChars="200"/>
        <w:rPr>
          <w:rFonts w:eastAsia="仿宋"/>
          <w:sz w:val="28"/>
          <w:szCs w:val="28"/>
        </w:rPr>
      </w:pPr>
      <w:r>
        <w:rPr>
          <w:rFonts w:eastAsia="仿宋"/>
          <w:b/>
          <w:bCs/>
          <w:sz w:val="28"/>
          <w:szCs w:val="28"/>
        </w:rPr>
        <w:t>设备特性与厂商规范：</w:t>
      </w:r>
      <w:r>
        <w:rPr>
          <w:rFonts w:eastAsia="仿宋"/>
          <w:sz w:val="28"/>
          <w:szCs w:val="28"/>
        </w:rPr>
        <w:t>严格参照各设备（如循环水设备、加热装置、LED灯具等）的出厂说明书，确保安装步骤（如循环水泵的管路连接、加热装置的浸没要求）符合厂商技术规范，保障设备基础功能正常发挥。</w:t>
      </w:r>
    </w:p>
    <w:p w14:paraId="1CC3A5D2">
      <w:pPr>
        <w:ind w:firstLine="562" w:firstLineChars="200"/>
        <w:rPr>
          <w:rFonts w:eastAsia="仿宋"/>
          <w:sz w:val="28"/>
          <w:szCs w:val="28"/>
        </w:rPr>
      </w:pPr>
      <w:r>
        <w:rPr>
          <w:rFonts w:eastAsia="仿宋"/>
          <w:b/>
          <w:bCs/>
          <w:sz w:val="28"/>
          <w:szCs w:val="28"/>
        </w:rPr>
        <w:t>石珊瑚生物学需求：</w:t>
      </w:r>
      <w:r>
        <w:rPr>
          <w:rFonts w:eastAsia="仿宋"/>
          <w:sz w:val="28"/>
          <w:szCs w:val="28"/>
        </w:rPr>
        <w:t>结合不同设备对珊瑚生长的影响设计细节——例如，造流设备</w:t>
      </w:r>
      <w:r>
        <w:rPr>
          <w:rFonts w:hint="eastAsia" w:eastAsia="仿宋"/>
          <w:sz w:val="28"/>
          <w:szCs w:val="28"/>
        </w:rPr>
        <w:t>“</w:t>
      </w:r>
      <w:r>
        <w:rPr>
          <w:rFonts w:eastAsia="仿宋"/>
          <w:sz w:val="28"/>
          <w:szCs w:val="28"/>
        </w:rPr>
        <w:t>避免水流直射石珊瑚</w:t>
      </w:r>
      <w:r>
        <w:rPr>
          <w:rFonts w:hint="eastAsia" w:eastAsia="仿宋"/>
          <w:sz w:val="28"/>
          <w:szCs w:val="28"/>
        </w:rPr>
        <w:t>”</w:t>
      </w:r>
      <w:r>
        <w:rPr>
          <w:rFonts w:eastAsia="仿宋"/>
          <w:sz w:val="28"/>
          <w:szCs w:val="28"/>
        </w:rPr>
        <w:t>的安装要求，源于脑珊瑚、气泡珊瑚等对强直射水流敏感的特性；LED灯具</w:t>
      </w:r>
      <w:r>
        <w:rPr>
          <w:rFonts w:hint="eastAsia" w:eastAsia="仿宋"/>
          <w:sz w:val="28"/>
          <w:szCs w:val="28"/>
        </w:rPr>
        <w:t>“</w:t>
      </w:r>
      <w:r>
        <w:rPr>
          <w:rFonts w:eastAsia="仿宋"/>
          <w:sz w:val="28"/>
          <w:szCs w:val="28"/>
        </w:rPr>
        <w:t>光照均匀覆盖</w:t>
      </w:r>
      <w:r>
        <w:rPr>
          <w:rFonts w:hint="eastAsia" w:eastAsia="仿宋"/>
          <w:sz w:val="28"/>
          <w:szCs w:val="28"/>
        </w:rPr>
        <w:t>”</w:t>
      </w:r>
      <w:r>
        <w:rPr>
          <w:rFonts w:eastAsia="仿宋"/>
          <w:sz w:val="28"/>
          <w:szCs w:val="28"/>
        </w:rPr>
        <w:t>的要求，依据共生藻光合作用对稳定光照的需求，防止局部光照不足导致珊瑚白化。</w:t>
      </w:r>
    </w:p>
    <w:p w14:paraId="559E512A">
      <w:pPr>
        <w:ind w:firstLine="562" w:firstLineChars="200"/>
        <w:rPr>
          <w:rFonts w:eastAsia="仿宋"/>
          <w:sz w:val="28"/>
          <w:szCs w:val="28"/>
        </w:rPr>
      </w:pPr>
      <w:r>
        <w:rPr>
          <w:rFonts w:eastAsia="仿宋"/>
          <w:b/>
          <w:bCs/>
          <w:sz w:val="28"/>
          <w:szCs w:val="28"/>
        </w:rPr>
        <w:t>行业实操经验：</w:t>
      </w:r>
      <w:r>
        <w:rPr>
          <w:rFonts w:eastAsia="仿宋"/>
          <w:sz w:val="28"/>
          <w:szCs w:val="28"/>
        </w:rPr>
        <w:t>吸纳规模化养殖场的成熟管理经验，如蛋白质分离器</w:t>
      </w:r>
      <w:r>
        <w:rPr>
          <w:rFonts w:hint="eastAsia" w:eastAsia="仿宋"/>
          <w:sz w:val="28"/>
          <w:szCs w:val="28"/>
        </w:rPr>
        <w:t>“</w:t>
      </w:r>
      <w:r>
        <w:rPr>
          <w:rFonts w:eastAsia="仿宋"/>
          <w:sz w:val="28"/>
          <w:szCs w:val="28"/>
        </w:rPr>
        <w:t>调节水位控制阀及进气量形成稳定泡沫层</w:t>
      </w:r>
      <w:r>
        <w:rPr>
          <w:rFonts w:hint="eastAsia" w:eastAsia="仿宋"/>
          <w:sz w:val="28"/>
          <w:szCs w:val="28"/>
        </w:rPr>
        <w:t>”</w:t>
      </w:r>
      <w:r>
        <w:rPr>
          <w:rFonts w:eastAsia="仿宋"/>
          <w:sz w:val="28"/>
          <w:szCs w:val="28"/>
        </w:rPr>
        <w:t>的操作，是长期实践中验证的高效除污方式；定期清理泵体、叶轮的维护要求，基于行业数据显示——藻类附着可使设备效率每月下降10%，需通过定期清洁维持性能。</w:t>
      </w:r>
    </w:p>
    <w:p w14:paraId="1A4418DF">
      <w:pPr>
        <w:ind w:firstLine="562" w:firstLineChars="200"/>
        <w:rPr>
          <w:rFonts w:eastAsia="仿宋"/>
          <w:sz w:val="28"/>
          <w:szCs w:val="28"/>
        </w:rPr>
      </w:pPr>
      <w:r>
        <w:rPr>
          <w:rFonts w:eastAsia="仿宋"/>
          <w:b/>
          <w:bCs/>
          <w:sz w:val="28"/>
          <w:szCs w:val="28"/>
        </w:rPr>
        <w:t>安全性与规范性：</w:t>
      </w:r>
      <w:r>
        <w:rPr>
          <w:rFonts w:eastAsia="仿宋"/>
          <w:sz w:val="28"/>
          <w:szCs w:val="28"/>
        </w:rPr>
        <w:t>涉水设备的密封要求（如管路接口、电路防水）参考GB 17378.4-2007《海洋监测规范》中</w:t>
      </w:r>
      <w:r>
        <w:rPr>
          <w:rFonts w:hint="eastAsia" w:eastAsia="仿宋"/>
          <w:sz w:val="28"/>
          <w:szCs w:val="28"/>
        </w:rPr>
        <w:t>“</w:t>
      </w:r>
      <w:r>
        <w:rPr>
          <w:rFonts w:eastAsia="仿宋"/>
          <w:sz w:val="28"/>
          <w:szCs w:val="28"/>
        </w:rPr>
        <w:t>水产养殖设备安全操作准则</w:t>
      </w:r>
      <w:r>
        <w:rPr>
          <w:rFonts w:hint="eastAsia" w:eastAsia="仿宋"/>
          <w:sz w:val="28"/>
          <w:szCs w:val="28"/>
        </w:rPr>
        <w:t>”</w:t>
      </w:r>
      <w:r>
        <w:rPr>
          <w:rFonts w:eastAsia="仿宋"/>
          <w:sz w:val="28"/>
          <w:szCs w:val="28"/>
        </w:rPr>
        <w:t>，避免漏水、短路等安全隐患；设备维护记录要求则呼应标准</w:t>
      </w:r>
      <w:r>
        <w:rPr>
          <w:rFonts w:hint="eastAsia" w:eastAsia="仿宋"/>
          <w:sz w:val="28"/>
          <w:szCs w:val="28"/>
        </w:rPr>
        <w:t>“</w:t>
      </w:r>
      <w:r>
        <w:rPr>
          <w:rFonts w:eastAsia="仿宋"/>
          <w:sz w:val="28"/>
          <w:szCs w:val="28"/>
        </w:rPr>
        <w:t>可追溯性</w:t>
      </w:r>
      <w:r>
        <w:rPr>
          <w:rFonts w:hint="eastAsia" w:eastAsia="仿宋"/>
          <w:sz w:val="28"/>
          <w:szCs w:val="28"/>
        </w:rPr>
        <w:t>”</w:t>
      </w:r>
      <w:r>
        <w:rPr>
          <w:rFonts w:eastAsia="仿宋"/>
          <w:sz w:val="28"/>
          <w:szCs w:val="28"/>
        </w:rPr>
        <w:t>原则，便于养殖过程的全程管控。</w:t>
      </w:r>
    </w:p>
    <w:p w14:paraId="31FAA3EA">
      <w:pPr>
        <w:pStyle w:val="7"/>
        <w:widowControl/>
        <w:numPr>
          <w:ilvl w:val="1"/>
          <w:numId w:val="5"/>
        </w:numPr>
        <w:adjustRightInd w:val="0"/>
        <w:snapToGrid w:val="0"/>
        <w:spacing w:before="156" w:beforeLines="50" w:beforeAutospacing="0" w:after="156" w:afterLines="50" w:afterAutospacing="0"/>
        <w:jc w:val="center"/>
      </w:pPr>
      <w:bookmarkStart w:id="4" w:name="_Toc205304983"/>
      <w:bookmarkStart w:id="5" w:name="_Toc205305028"/>
      <w:r>
        <w:rPr>
          <w:rFonts w:eastAsia="黑体"/>
          <w:kern w:val="21"/>
          <w:sz w:val="21"/>
          <w:szCs w:val="20"/>
          <w:lang w:bidi="ar"/>
        </w:rPr>
        <w:t>观赏石珊瑚的喂养方式</w:t>
      </w:r>
      <w:bookmarkEnd w:id="4"/>
      <w:bookmarkEnd w:id="5"/>
    </w:p>
    <w:tbl>
      <w:tblPr>
        <w:tblStyle w:val="9"/>
        <w:tblW w:w="4998"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Layout w:type="autofit"/>
        <w:tblCellMar>
          <w:top w:w="0" w:type="dxa"/>
          <w:left w:w="0" w:type="dxa"/>
          <w:bottom w:w="0" w:type="dxa"/>
          <w:right w:w="0" w:type="dxa"/>
        </w:tblCellMar>
      </w:tblPr>
      <w:tblGrid>
        <w:gridCol w:w="1400"/>
        <w:gridCol w:w="2237"/>
        <w:gridCol w:w="1627"/>
        <w:gridCol w:w="3399"/>
      </w:tblGrid>
      <w:tr w14:paraId="2CD615A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23" w:hRule="atLeast"/>
          <w:tblHeader/>
          <w:jc w:val="center"/>
        </w:trPr>
        <w:tc>
          <w:tcPr>
            <w:tcW w:w="808" w:type="pct"/>
            <w:tcBorders>
              <w:top w:val="single" w:color="auto" w:sz="8" w:space="0"/>
              <w:left w:val="single" w:color="auto" w:sz="8" w:space="0"/>
              <w:bottom w:val="single" w:color="auto" w:sz="8" w:space="0"/>
              <w:right w:val="single" w:color="auto" w:sz="4" w:space="0"/>
            </w:tcBorders>
            <w:shd w:val="clear" w:color="auto" w:fill="FFFFFF"/>
            <w:tcMar>
              <w:top w:w="120" w:type="dxa"/>
              <w:left w:w="180" w:type="dxa"/>
              <w:bottom w:w="120" w:type="dxa"/>
              <w:right w:w="180" w:type="dxa"/>
            </w:tcMar>
            <w:vAlign w:val="center"/>
          </w:tcPr>
          <w:p w14:paraId="1E8BAB79">
            <w:pPr>
              <w:widowControl/>
              <w:jc w:val="center"/>
              <w:textAlignment w:val="top"/>
              <w:rPr>
                <w:color w:val="000000"/>
                <w:kern w:val="0"/>
                <w:sz w:val="18"/>
                <w:szCs w:val="18"/>
              </w:rPr>
            </w:pPr>
            <w:r>
              <w:rPr>
                <w:color w:val="000000"/>
                <w:kern w:val="0"/>
                <w:sz w:val="18"/>
                <w:szCs w:val="18"/>
                <w:lang w:bidi="ar"/>
              </w:rPr>
              <w:t>常见观赏石珊瑚</w:t>
            </w:r>
          </w:p>
        </w:tc>
        <w:tc>
          <w:tcPr>
            <w:tcW w:w="1291" w:type="pct"/>
            <w:tcBorders>
              <w:top w:val="single" w:color="auto" w:sz="8" w:space="0"/>
              <w:left w:val="single" w:color="auto" w:sz="4" w:space="0"/>
              <w:bottom w:val="single" w:color="auto" w:sz="8" w:space="0"/>
              <w:right w:val="single" w:color="auto" w:sz="4" w:space="0"/>
            </w:tcBorders>
            <w:shd w:val="clear" w:color="auto" w:fill="FFFFFF"/>
            <w:tcMar>
              <w:top w:w="120" w:type="dxa"/>
              <w:left w:w="180" w:type="dxa"/>
              <w:bottom w:w="120" w:type="dxa"/>
              <w:right w:w="180" w:type="dxa"/>
            </w:tcMar>
            <w:vAlign w:val="center"/>
          </w:tcPr>
          <w:p w14:paraId="15AFCCAC">
            <w:pPr>
              <w:widowControl/>
              <w:jc w:val="center"/>
              <w:textAlignment w:val="top"/>
              <w:rPr>
                <w:color w:val="000000"/>
                <w:kern w:val="0"/>
                <w:sz w:val="18"/>
                <w:szCs w:val="18"/>
              </w:rPr>
            </w:pPr>
            <w:r>
              <w:rPr>
                <w:color w:val="000000"/>
                <w:kern w:val="0"/>
                <w:sz w:val="18"/>
                <w:szCs w:val="18"/>
                <w:lang w:bidi="ar"/>
              </w:rPr>
              <w:t>属名</w:t>
            </w:r>
          </w:p>
        </w:tc>
        <w:tc>
          <w:tcPr>
            <w:tcW w:w="939" w:type="pct"/>
            <w:tcBorders>
              <w:top w:val="single" w:color="auto" w:sz="8" w:space="0"/>
              <w:left w:val="single" w:color="auto" w:sz="4" w:space="0"/>
              <w:bottom w:val="single" w:color="auto" w:sz="8" w:space="0"/>
              <w:right w:val="single" w:color="auto" w:sz="4" w:space="0"/>
            </w:tcBorders>
            <w:shd w:val="clear" w:color="auto" w:fill="FFFFFF"/>
            <w:tcMar>
              <w:top w:w="120" w:type="dxa"/>
              <w:left w:w="180" w:type="dxa"/>
              <w:bottom w:w="120" w:type="dxa"/>
              <w:right w:w="180" w:type="dxa"/>
            </w:tcMar>
            <w:vAlign w:val="center"/>
          </w:tcPr>
          <w:p w14:paraId="3FA06136">
            <w:pPr>
              <w:widowControl/>
              <w:jc w:val="center"/>
              <w:textAlignment w:val="top"/>
              <w:rPr>
                <w:color w:val="000000"/>
                <w:kern w:val="0"/>
                <w:sz w:val="18"/>
                <w:szCs w:val="18"/>
              </w:rPr>
            </w:pPr>
            <w:r>
              <w:rPr>
                <w:color w:val="000000"/>
                <w:kern w:val="0"/>
                <w:sz w:val="18"/>
                <w:szCs w:val="18"/>
                <w:lang w:bidi="ar"/>
              </w:rPr>
              <w:t>摄食类型及特点</w:t>
            </w:r>
          </w:p>
        </w:tc>
        <w:tc>
          <w:tcPr>
            <w:tcW w:w="1961" w:type="pct"/>
            <w:tcBorders>
              <w:top w:val="single" w:color="auto" w:sz="8" w:space="0"/>
              <w:left w:val="single" w:color="auto" w:sz="4" w:space="0"/>
              <w:bottom w:val="single" w:color="auto" w:sz="8" w:space="0"/>
              <w:right w:val="single" w:color="auto" w:sz="8" w:space="0"/>
            </w:tcBorders>
            <w:shd w:val="clear" w:color="auto" w:fill="FFFFFF"/>
            <w:tcMar>
              <w:top w:w="120" w:type="dxa"/>
              <w:left w:w="180" w:type="dxa"/>
              <w:bottom w:w="120" w:type="dxa"/>
              <w:right w:w="180" w:type="dxa"/>
            </w:tcMar>
            <w:vAlign w:val="center"/>
          </w:tcPr>
          <w:p w14:paraId="3D5A6420">
            <w:pPr>
              <w:widowControl/>
              <w:jc w:val="center"/>
              <w:textAlignment w:val="top"/>
              <w:rPr>
                <w:color w:val="000000"/>
                <w:kern w:val="0"/>
                <w:sz w:val="18"/>
                <w:szCs w:val="18"/>
              </w:rPr>
            </w:pPr>
            <w:r>
              <w:rPr>
                <w:color w:val="000000"/>
                <w:kern w:val="0"/>
                <w:sz w:val="18"/>
                <w:szCs w:val="18"/>
                <w:lang w:bidi="ar"/>
              </w:rPr>
              <w:t>饲料偏好与喂养方式</w:t>
            </w:r>
          </w:p>
        </w:tc>
      </w:tr>
      <w:tr w14:paraId="7A8B532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454" w:hRule="exact"/>
          <w:jc w:val="center"/>
        </w:trPr>
        <w:tc>
          <w:tcPr>
            <w:tcW w:w="808" w:type="pct"/>
            <w:tcBorders>
              <w:top w:val="single" w:color="auto" w:sz="8" w:space="0"/>
              <w:left w:val="single" w:color="auto" w:sz="8"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27BB9C78">
            <w:pPr>
              <w:widowControl/>
              <w:jc w:val="center"/>
              <w:textAlignment w:val="top"/>
              <w:rPr>
                <w:color w:val="000000"/>
                <w:kern w:val="0"/>
                <w:sz w:val="18"/>
                <w:szCs w:val="18"/>
              </w:rPr>
            </w:pPr>
            <w:r>
              <w:rPr>
                <w:color w:val="000000"/>
                <w:kern w:val="0"/>
                <w:sz w:val="18"/>
                <w:szCs w:val="18"/>
                <w:lang w:bidi="ar"/>
              </w:rPr>
              <w:t>脑珊瑚</w:t>
            </w:r>
          </w:p>
        </w:tc>
        <w:tc>
          <w:tcPr>
            <w:tcW w:w="1291" w:type="pct"/>
            <w:tcBorders>
              <w:top w:val="single" w:color="auto" w:sz="8"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467FBAF7">
            <w:pPr>
              <w:widowControl/>
              <w:adjustRightInd w:val="0"/>
              <w:spacing w:line="280" w:lineRule="atLeast"/>
              <w:jc w:val="left"/>
              <w:rPr>
                <w:color w:val="000000"/>
                <w:kern w:val="0"/>
                <w:sz w:val="18"/>
                <w:szCs w:val="18"/>
              </w:rPr>
            </w:pPr>
            <w:r>
              <w:rPr>
                <w:color w:val="000000"/>
                <w:kern w:val="0"/>
                <w:sz w:val="18"/>
                <w:szCs w:val="18"/>
                <w:lang w:bidi="ar"/>
              </w:rPr>
              <w:t>扁脑珊瑚属（</w:t>
            </w:r>
            <w:r>
              <w:rPr>
                <w:i/>
                <w:color w:val="000000"/>
                <w:kern w:val="0"/>
                <w:sz w:val="18"/>
                <w:szCs w:val="18"/>
                <w:lang w:bidi="ar"/>
              </w:rPr>
              <w:t>Platygyra</w:t>
            </w:r>
            <w:r>
              <w:rPr>
                <w:color w:val="000000"/>
                <w:kern w:val="0"/>
                <w:sz w:val="18"/>
                <w:szCs w:val="18"/>
                <w:lang w:bidi="ar"/>
              </w:rPr>
              <w:t>）</w:t>
            </w:r>
          </w:p>
        </w:tc>
        <w:tc>
          <w:tcPr>
            <w:tcW w:w="939" w:type="pct"/>
            <w:vMerge w:val="restart"/>
            <w:tcBorders>
              <w:top w:val="single" w:color="auto" w:sz="8"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7A75ABBF">
            <w:pPr>
              <w:widowControl/>
              <w:jc w:val="center"/>
              <w:textAlignment w:val="top"/>
              <w:rPr>
                <w:color w:val="000000"/>
                <w:kern w:val="0"/>
                <w:sz w:val="18"/>
                <w:szCs w:val="18"/>
              </w:rPr>
            </w:pPr>
            <w:r>
              <w:rPr>
                <w:color w:val="000000"/>
                <w:kern w:val="0"/>
                <w:sz w:val="18"/>
                <w:szCs w:val="18"/>
                <w:lang w:bidi="ar"/>
              </w:rPr>
              <w:t>主动捕食型，口器较大，可主动捕捉较大体型的活体或冷冻食物</w:t>
            </w:r>
          </w:p>
        </w:tc>
        <w:tc>
          <w:tcPr>
            <w:tcW w:w="1961" w:type="pct"/>
            <w:vMerge w:val="restart"/>
            <w:tcBorders>
              <w:top w:val="single" w:color="auto" w:sz="8" w:space="0"/>
              <w:left w:val="single" w:color="auto" w:sz="4" w:space="0"/>
              <w:bottom w:val="single" w:color="auto" w:sz="4" w:space="0"/>
              <w:right w:val="single" w:color="auto" w:sz="8" w:space="0"/>
            </w:tcBorders>
            <w:shd w:val="clear" w:color="auto" w:fill="FFFFFF"/>
            <w:tcMar>
              <w:top w:w="120" w:type="dxa"/>
              <w:left w:w="180" w:type="dxa"/>
              <w:bottom w:w="120" w:type="dxa"/>
              <w:right w:w="180" w:type="dxa"/>
            </w:tcMar>
            <w:vAlign w:val="center"/>
          </w:tcPr>
          <w:p w14:paraId="6AB2D91E">
            <w:pPr>
              <w:widowControl/>
              <w:adjustRightInd w:val="0"/>
              <w:spacing w:line="240" w:lineRule="atLeast"/>
              <w:jc w:val="left"/>
              <w:rPr>
                <w:color w:val="404040"/>
                <w:kern w:val="0"/>
                <w:sz w:val="18"/>
                <w:szCs w:val="18"/>
              </w:rPr>
            </w:pPr>
            <w:r>
              <w:rPr>
                <w:color w:val="404040"/>
                <w:kern w:val="0"/>
                <w:sz w:val="18"/>
                <w:szCs w:val="18"/>
                <w:lang w:bidi="ar"/>
              </w:rPr>
              <w:t>1.应选用虾肉、磷虾等动物性饵料，粒径宜为口器直径的1/2。</w:t>
            </w:r>
          </w:p>
          <w:p w14:paraId="7FDE08E4">
            <w:pPr>
              <w:widowControl/>
              <w:adjustRightInd w:val="0"/>
              <w:spacing w:line="240" w:lineRule="atLeast"/>
              <w:jc w:val="left"/>
              <w:rPr>
                <w:color w:val="404040"/>
                <w:kern w:val="0"/>
                <w:sz w:val="18"/>
                <w:szCs w:val="18"/>
              </w:rPr>
            </w:pPr>
            <w:r>
              <w:rPr>
                <w:color w:val="404040"/>
                <w:kern w:val="0"/>
                <w:sz w:val="18"/>
                <w:szCs w:val="18"/>
                <w:lang w:bidi="ar"/>
              </w:rPr>
              <w:t>2.应于夜间关闭水流后，用镊子将饵料置于口器处。</w:t>
            </w:r>
          </w:p>
          <w:p w14:paraId="6D025787">
            <w:pPr>
              <w:widowControl/>
              <w:adjustRightInd w:val="0"/>
              <w:spacing w:line="240" w:lineRule="atLeast"/>
              <w:jc w:val="left"/>
              <w:rPr>
                <w:color w:val="404040"/>
                <w:sz w:val="18"/>
                <w:szCs w:val="18"/>
              </w:rPr>
            </w:pPr>
            <w:r>
              <w:rPr>
                <w:color w:val="404040"/>
                <w:kern w:val="0"/>
                <w:sz w:val="18"/>
                <w:szCs w:val="18"/>
                <w:lang w:bidi="ar"/>
              </w:rPr>
              <w:t>3.每7天-14天投喂1次，单次投喂量不超过珊瑚体积的5%。</w:t>
            </w:r>
          </w:p>
        </w:tc>
      </w:tr>
      <w:tr w14:paraId="336AF39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454" w:hRule="exact"/>
          <w:jc w:val="center"/>
        </w:trPr>
        <w:tc>
          <w:tcPr>
            <w:tcW w:w="808" w:type="pct"/>
            <w:tcBorders>
              <w:top w:val="single" w:color="auto" w:sz="8" w:space="0"/>
              <w:left w:val="single" w:color="auto" w:sz="8"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2EC7BB17">
            <w:pPr>
              <w:widowControl/>
              <w:jc w:val="center"/>
              <w:textAlignment w:val="top"/>
              <w:rPr>
                <w:color w:val="000000"/>
                <w:kern w:val="0"/>
                <w:sz w:val="18"/>
                <w:szCs w:val="18"/>
              </w:rPr>
            </w:pPr>
            <w:r>
              <w:rPr>
                <w:color w:val="000000"/>
                <w:kern w:val="0"/>
                <w:sz w:val="18"/>
                <w:szCs w:val="18"/>
                <w:lang w:bidi="ar"/>
              </w:rPr>
              <w:t>飞盘珊瑚</w:t>
            </w:r>
          </w:p>
        </w:tc>
        <w:tc>
          <w:tcPr>
            <w:tcW w:w="1291" w:type="pct"/>
            <w:tcBorders>
              <w:top w:val="single" w:color="auto" w:sz="8"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01327149">
            <w:pPr>
              <w:widowControl/>
              <w:adjustRightInd w:val="0"/>
              <w:spacing w:line="280" w:lineRule="atLeast"/>
              <w:jc w:val="left"/>
              <w:rPr>
                <w:color w:val="000000"/>
                <w:kern w:val="0"/>
                <w:sz w:val="18"/>
                <w:szCs w:val="18"/>
              </w:rPr>
            </w:pPr>
            <w:r>
              <w:rPr>
                <w:color w:val="000000"/>
                <w:kern w:val="0"/>
                <w:sz w:val="18"/>
                <w:szCs w:val="18"/>
                <w:lang w:bidi="ar"/>
              </w:rPr>
              <w:t>辐石芝珊瑚属（</w:t>
            </w:r>
            <w:r>
              <w:rPr>
                <w:i/>
                <w:color w:val="000000"/>
                <w:kern w:val="0"/>
                <w:sz w:val="18"/>
                <w:szCs w:val="18"/>
                <w:lang w:bidi="ar"/>
              </w:rPr>
              <w:t>Heliofungia</w:t>
            </w:r>
            <w:r>
              <w:rPr>
                <w:color w:val="000000"/>
                <w:kern w:val="0"/>
                <w:sz w:val="18"/>
                <w:szCs w:val="18"/>
                <w:lang w:bidi="ar"/>
              </w:rPr>
              <w:t>）</w:t>
            </w:r>
          </w:p>
        </w:tc>
        <w:tc>
          <w:tcPr>
            <w:tcW w:w="939" w:type="pct"/>
            <w:vMerge w:val="continue"/>
            <w:tcBorders>
              <w:top w:val="single" w:color="auto" w:sz="8"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1D9CB195">
            <w:pPr>
              <w:rPr>
                <w:sz w:val="20"/>
                <w:szCs w:val="20"/>
              </w:rPr>
            </w:pPr>
          </w:p>
        </w:tc>
        <w:tc>
          <w:tcPr>
            <w:tcW w:w="1961" w:type="pct"/>
            <w:vMerge w:val="continue"/>
            <w:tcBorders>
              <w:top w:val="single" w:color="auto" w:sz="8" w:space="0"/>
              <w:left w:val="single" w:color="auto" w:sz="4" w:space="0"/>
              <w:bottom w:val="single" w:color="auto" w:sz="4" w:space="0"/>
              <w:right w:val="single" w:color="auto" w:sz="8" w:space="0"/>
            </w:tcBorders>
            <w:shd w:val="clear" w:color="auto" w:fill="FFFFFF"/>
            <w:tcMar>
              <w:top w:w="120" w:type="dxa"/>
              <w:left w:w="180" w:type="dxa"/>
              <w:bottom w:w="120" w:type="dxa"/>
              <w:right w:w="180" w:type="dxa"/>
            </w:tcMar>
            <w:vAlign w:val="center"/>
          </w:tcPr>
          <w:p w14:paraId="7A7E4BD8">
            <w:pPr>
              <w:rPr>
                <w:sz w:val="20"/>
                <w:szCs w:val="20"/>
              </w:rPr>
            </w:pPr>
          </w:p>
        </w:tc>
      </w:tr>
      <w:tr w14:paraId="7EF9603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826" w:hRule="exact"/>
          <w:jc w:val="center"/>
        </w:trPr>
        <w:tc>
          <w:tcPr>
            <w:tcW w:w="808" w:type="pct"/>
            <w:tcBorders>
              <w:top w:val="single" w:color="auto" w:sz="8" w:space="0"/>
              <w:left w:val="single" w:color="auto" w:sz="8"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082A3692">
            <w:pPr>
              <w:widowControl/>
              <w:jc w:val="center"/>
              <w:textAlignment w:val="top"/>
              <w:rPr>
                <w:color w:val="000000"/>
                <w:kern w:val="0"/>
                <w:sz w:val="18"/>
                <w:szCs w:val="18"/>
              </w:rPr>
            </w:pPr>
            <w:r>
              <w:rPr>
                <w:color w:val="000000"/>
                <w:kern w:val="0"/>
                <w:sz w:val="18"/>
                <w:szCs w:val="18"/>
                <w:lang w:bidi="ar"/>
              </w:rPr>
              <w:t>炮仗花珊瑚</w:t>
            </w:r>
          </w:p>
        </w:tc>
        <w:tc>
          <w:tcPr>
            <w:tcW w:w="1291" w:type="pct"/>
            <w:tcBorders>
              <w:top w:val="single" w:color="auto" w:sz="8"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5D95D489">
            <w:pPr>
              <w:widowControl/>
              <w:adjustRightInd w:val="0"/>
              <w:spacing w:line="280" w:lineRule="atLeast"/>
              <w:jc w:val="left"/>
              <w:rPr>
                <w:color w:val="000000"/>
                <w:kern w:val="0"/>
                <w:sz w:val="18"/>
                <w:szCs w:val="18"/>
              </w:rPr>
            </w:pPr>
            <w:r>
              <w:rPr>
                <w:color w:val="000000"/>
                <w:kern w:val="0"/>
                <w:sz w:val="18"/>
                <w:szCs w:val="18"/>
                <w:lang w:bidi="ar"/>
              </w:rPr>
              <w:t>筒星珊瑚属（</w:t>
            </w:r>
            <w:r>
              <w:rPr>
                <w:i/>
                <w:color w:val="000000"/>
                <w:kern w:val="0"/>
                <w:sz w:val="18"/>
                <w:szCs w:val="18"/>
                <w:lang w:bidi="ar"/>
              </w:rPr>
              <w:t>Tubastrea</w:t>
            </w:r>
            <w:r>
              <w:rPr>
                <w:color w:val="000000"/>
                <w:kern w:val="0"/>
                <w:sz w:val="18"/>
                <w:szCs w:val="18"/>
                <w:lang w:bidi="ar"/>
              </w:rPr>
              <w:t>）</w:t>
            </w:r>
          </w:p>
        </w:tc>
        <w:tc>
          <w:tcPr>
            <w:tcW w:w="939" w:type="pct"/>
            <w:vMerge w:val="continue"/>
            <w:tcBorders>
              <w:top w:val="single" w:color="auto" w:sz="8"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07E9097A">
            <w:pPr>
              <w:rPr>
                <w:sz w:val="20"/>
                <w:szCs w:val="20"/>
              </w:rPr>
            </w:pPr>
          </w:p>
        </w:tc>
        <w:tc>
          <w:tcPr>
            <w:tcW w:w="1961" w:type="pct"/>
            <w:vMerge w:val="continue"/>
            <w:tcBorders>
              <w:top w:val="single" w:color="auto" w:sz="8" w:space="0"/>
              <w:left w:val="single" w:color="auto" w:sz="4" w:space="0"/>
              <w:bottom w:val="single" w:color="auto" w:sz="4" w:space="0"/>
              <w:right w:val="single" w:color="auto" w:sz="8" w:space="0"/>
            </w:tcBorders>
            <w:shd w:val="clear" w:color="auto" w:fill="FFFFFF"/>
            <w:tcMar>
              <w:top w:w="120" w:type="dxa"/>
              <w:left w:w="180" w:type="dxa"/>
              <w:bottom w:w="120" w:type="dxa"/>
              <w:right w:w="180" w:type="dxa"/>
            </w:tcMar>
            <w:vAlign w:val="center"/>
          </w:tcPr>
          <w:p w14:paraId="46394959">
            <w:pPr>
              <w:rPr>
                <w:sz w:val="20"/>
                <w:szCs w:val="20"/>
              </w:rPr>
            </w:pPr>
          </w:p>
        </w:tc>
      </w:tr>
      <w:tr w14:paraId="32CFFEC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938" w:hRule="exact"/>
          <w:jc w:val="center"/>
        </w:trPr>
        <w:tc>
          <w:tcPr>
            <w:tcW w:w="808" w:type="pct"/>
            <w:tcBorders>
              <w:top w:val="single" w:color="auto" w:sz="4" w:space="0"/>
              <w:left w:val="single" w:color="auto" w:sz="8"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71BCCD31">
            <w:pPr>
              <w:widowControl/>
              <w:jc w:val="center"/>
              <w:textAlignment w:val="top"/>
              <w:rPr>
                <w:color w:val="000000"/>
                <w:kern w:val="0"/>
                <w:sz w:val="18"/>
                <w:szCs w:val="18"/>
              </w:rPr>
            </w:pPr>
            <w:r>
              <w:rPr>
                <w:color w:val="000000"/>
                <w:kern w:val="0"/>
                <w:sz w:val="18"/>
                <w:szCs w:val="18"/>
                <w:lang w:bidi="ar"/>
              </w:rPr>
              <w:t>榔头珊瑚</w:t>
            </w:r>
          </w:p>
        </w:tc>
        <w:tc>
          <w:tcPr>
            <w:tcW w:w="1291" w:type="pct"/>
            <w:tcBorders>
              <w:top w:val="single" w:color="auto" w:sz="4"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154085D0">
            <w:pPr>
              <w:widowControl/>
              <w:adjustRightInd w:val="0"/>
              <w:spacing w:line="280" w:lineRule="atLeast"/>
              <w:jc w:val="left"/>
              <w:rPr>
                <w:color w:val="000000"/>
                <w:kern w:val="0"/>
                <w:sz w:val="18"/>
                <w:szCs w:val="18"/>
              </w:rPr>
            </w:pPr>
            <w:r>
              <w:rPr>
                <w:color w:val="000000"/>
                <w:kern w:val="0"/>
                <w:sz w:val="18"/>
                <w:szCs w:val="18"/>
                <w:lang w:bidi="ar"/>
              </w:rPr>
              <w:t>真叶珊瑚属（</w:t>
            </w:r>
            <w:r>
              <w:rPr>
                <w:i/>
                <w:color w:val="000000"/>
                <w:kern w:val="0"/>
                <w:sz w:val="18"/>
                <w:szCs w:val="18"/>
                <w:lang w:bidi="ar"/>
              </w:rPr>
              <w:t>Oxypora</w:t>
            </w:r>
            <w:r>
              <w:rPr>
                <w:color w:val="000000"/>
                <w:kern w:val="0"/>
                <w:sz w:val="18"/>
                <w:szCs w:val="18"/>
                <w:lang w:bidi="ar"/>
              </w:rPr>
              <w:t>）</w:t>
            </w:r>
          </w:p>
        </w:tc>
        <w:tc>
          <w:tcPr>
            <w:tcW w:w="939" w:type="pct"/>
            <w:vMerge w:val="restart"/>
            <w:tcBorders>
              <w:top w:val="single" w:color="auto" w:sz="4" w:space="0"/>
              <w:left w:val="single" w:color="auto" w:sz="4" w:space="0"/>
              <w:bottom w:val="single" w:color="auto" w:sz="8" w:space="0"/>
              <w:right w:val="single" w:color="auto" w:sz="4" w:space="0"/>
            </w:tcBorders>
            <w:shd w:val="clear" w:color="auto" w:fill="FFFFFF"/>
            <w:tcMar>
              <w:top w:w="120" w:type="dxa"/>
              <w:left w:w="180" w:type="dxa"/>
              <w:bottom w:w="120" w:type="dxa"/>
              <w:right w:w="180" w:type="dxa"/>
            </w:tcMar>
            <w:vAlign w:val="center"/>
          </w:tcPr>
          <w:p w14:paraId="6239DD7F">
            <w:pPr>
              <w:widowControl/>
              <w:jc w:val="center"/>
              <w:textAlignment w:val="top"/>
              <w:rPr>
                <w:color w:val="000000"/>
                <w:kern w:val="0"/>
                <w:sz w:val="18"/>
                <w:szCs w:val="18"/>
              </w:rPr>
            </w:pPr>
            <w:r>
              <w:rPr>
                <w:color w:val="000000"/>
                <w:kern w:val="0"/>
                <w:sz w:val="18"/>
                <w:szCs w:val="18"/>
                <w:lang w:bidi="ar"/>
              </w:rPr>
              <w:t>滤食依赖型，口器中等或较小，依赖水流过滤小型浮游生物</w:t>
            </w:r>
          </w:p>
        </w:tc>
        <w:tc>
          <w:tcPr>
            <w:tcW w:w="1961" w:type="pct"/>
            <w:vMerge w:val="restart"/>
            <w:tcBorders>
              <w:top w:val="single" w:color="auto" w:sz="4" w:space="0"/>
              <w:left w:val="single" w:color="auto" w:sz="4" w:space="0"/>
              <w:bottom w:val="single" w:color="auto" w:sz="8" w:space="0"/>
              <w:right w:val="single" w:color="auto" w:sz="8" w:space="0"/>
            </w:tcBorders>
            <w:shd w:val="clear" w:color="auto" w:fill="FFFFFF"/>
            <w:tcMar>
              <w:top w:w="120" w:type="dxa"/>
              <w:left w:w="180" w:type="dxa"/>
              <w:bottom w:w="120" w:type="dxa"/>
              <w:right w:w="180" w:type="dxa"/>
            </w:tcMar>
            <w:vAlign w:val="center"/>
          </w:tcPr>
          <w:p w14:paraId="6A9D10A2">
            <w:pPr>
              <w:widowControl/>
              <w:adjustRightInd w:val="0"/>
              <w:jc w:val="left"/>
              <w:rPr>
                <w:color w:val="404040"/>
                <w:kern w:val="0"/>
                <w:sz w:val="18"/>
                <w:szCs w:val="18"/>
              </w:rPr>
            </w:pPr>
            <w:r>
              <w:rPr>
                <w:color w:val="404040"/>
                <w:kern w:val="0"/>
                <w:sz w:val="18"/>
                <w:szCs w:val="18"/>
                <w:lang w:bidi="ar"/>
              </w:rPr>
              <w:t>1.宜使用粒径≤200 μm的浮游生物饵料（如轮虫、丰年虾无节幼体）。</w:t>
            </w:r>
          </w:p>
          <w:p w14:paraId="6623165F">
            <w:pPr>
              <w:widowControl/>
              <w:adjustRightInd w:val="0"/>
              <w:jc w:val="left"/>
              <w:rPr>
                <w:color w:val="404040"/>
                <w:kern w:val="0"/>
                <w:sz w:val="18"/>
                <w:szCs w:val="18"/>
              </w:rPr>
            </w:pPr>
            <w:r>
              <w:rPr>
                <w:color w:val="404040"/>
                <w:kern w:val="0"/>
                <w:sz w:val="18"/>
                <w:szCs w:val="18"/>
                <w:lang w:bidi="ar"/>
              </w:rPr>
              <w:t>2.应开启造流设备，使饵料均匀悬浮于水体中，投喂时长≤30 min。</w:t>
            </w:r>
          </w:p>
          <w:p w14:paraId="35B35AEF">
            <w:pPr>
              <w:widowControl/>
              <w:adjustRightInd w:val="0"/>
              <w:jc w:val="left"/>
              <w:rPr>
                <w:color w:val="404040"/>
                <w:sz w:val="18"/>
                <w:szCs w:val="18"/>
              </w:rPr>
            </w:pPr>
            <w:r>
              <w:rPr>
                <w:color w:val="404040"/>
                <w:kern w:val="0"/>
                <w:sz w:val="18"/>
                <w:szCs w:val="18"/>
                <w:lang w:bidi="ar"/>
              </w:rPr>
              <w:t>3.每14天-21天投喂1次，投喂后2 h内应启动蛋白质分离器。</w:t>
            </w:r>
          </w:p>
        </w:tc>
      </w:tr>
      <w:tr w14:paraId="5939259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454" w:hRule="exact"/>
          <w:jc w:val="center"/>
        </w:trPr>
        <w:tc>
          <w:tcPr>
            <w:tcW w:w="808" w:type="pct"/>
            <w:tcBorders>
              <w:top w:val="single" w:color="auto" w:sz="4" w:space="0"/>
              <w:left w:val="single" w:color="auto" w:sz="8"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101CDB4A">
            <w:pPr>
              <w:widowControl/>
              <w:jc w:val="center"/>
              <w:textAlignment w:val="top"/>
              <w:rPr>
                <w:color w:val="000000"/>
                <w:kern w:val="0"/>
                <w:sz w:val="18"/>
                <w:szCs w:val="18"/>
              </w:rPr>
            </w:pPr>
            <w:r>
              <w:rPr>
                <w:color w:val="000000"/>
                <w:kern w:val="0"/>
                <w:sz w:val="18"/>
                <w:szCs w:val="18"/>
                <w:lang w:bidi="ar"/>
              </w:rPr>
              <w:t>宝石花珊瑚</w:t>
            </w:r>
          </w:p>
        </w:tc>
        <w:tc>
          <w:tcPr>
            <w:tcW w:w="1291" w:type="pct"/>
            <w:tcBorders>
              <w:top w:val="single" w:color="auto" w:sz="4"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79D9368D">
            <w:pPr>
              <w:widowControl/>
              <w:adjustRightInd w:val="0"/>
              <w:spacing w:line="280" w:lineRule="atLeast"/>
              <w:jc w:val="left"/>
              <w:rPr>
                <w:color w:val="000000"/>
                <w:kern w:val="0"/>
                <w:sz w:val="18"/>
                <w:szCs w:val="18"/>
              </w:rPr>
            </w:pPr>
            <w:r>
              <w:rPr>
                <w:color w:val="000000"/>
                <w:kern w:val="0"/>
                <w:sz w:val="18"/>
                <w:szCs w:val="18"/>
                <w:lang w:bidi="ar"/>
              </w:rPr>
              <w:t>角孔珊瑚属（</w:t>
            </w:r>
            <w:r>
              <w:rPr>
                <w:i/>
                <w:color w:val="000000"/>
                <w:kern w:val="0"/>
                <w:sz w:val="18"/>
                <w:szCs w:val="18"/>
                <w:lang w:bidi="ar"/>
              </w:rPr>
              <w:t>Goniopora</w:t>
            </w:r>
            <w:r>
              <w:rPr>
                <w:color w:val="000000"/>
                <w:kern w:val="0"/>
                <w:sz w:val="18"/>
                <w:szCs w:val="18"/>
                <w:lang w:bidi="ar"/>
              </w:rPr>
              <w:t>）</w:t>
            </w:r>
          </w:p>
        </w:tc>
        <w:tc>
          <w:tcPr>
            <w:tcW w:w="939" w:type="pct"/>
            <w:vMerge w:val="continue"/>
            <w:tcBorders>
              <w:top w:val="single" w:color="auto" w:sz="4" w:space="0"/>
              <w:left w:val="single" w:color="auto" w:sz="4" w:space="0"/>
              <w:bottom w:val="single" w:color="auto" w:sz="8" w:space="0"/>
              <w:right w:val="single" w:color="auto" w:sz="4" w:space="0"/>
            </w:tcBorders>
            <w:shd w:val="clear" w:color="auto" w:fill="FFFFFF"/>
            <w:tcMar>
              <w:top w:w="120" w:type="dxa"/>
              <w:left w:w="180" w:type="dxa"/>
              <w:bottom w:w="120" w:type="dxa"/>
              <w:right w:w="180" w:type="dxa"/>
            </w:tcMar>
            <w:vAlign w:val="center"/>
          </w:tcPr>
          <w:p w14:paraId="4EE6EA47">
            <w:pPr>
              <w:rPr>
                <w:sz w:val="20"/>
                <w:szCs w:val="20"/>
              </w:rPr>
            </w:pPr>
          </w:p>
        </w:tc>
        <w:tc>
          <w:tcPr>
            <w:tcW w:w="1961" w:type="pct"/>
            <w:vMerge w:val="continue"/>
            <w:tcBorders>
              <w:top w:val="single" w:color="auto" w:sz="4" w:space="0"/>
              <w:left w:val="single" w:color="auto" w:sz="4" w:space="0"/>
              <w:bottom w:val="single" w:color="auto" w:sz="8" w:space="0"/>
              <w:right w:val="single" w:color="auto" w:sz="8" w:space="0"/>
            </w:tcBorders>
            <w:shd w:val="clear" w:color="auto" w:fill="FFFFFF"/>
            <w:tcMar>
              <w:top w:w="120" w:type="dxa"/>
              <w:left w:w="180" w:type="dxa"/>
              <w:bottom w:w="120" w:type="dxa"/>
              <w:right w:w="180" w:type="dxa"/>
            </w:tcMar>
            <w:vAlign w:val="center"/>
          </w:tcPr>
          <w:p w14:paraId="5AAF60F4">
            <w:pPr>
              <w:rPr>
                <w:sz w:val="20"/>
                <w:szCs w:val="20"/>
              </w:rPr>
            </w:pPr>
          </w:p>
        </w:tc>
      </w:tr>
      <w:tr w14:paraId="6CD73F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454" w:hRule="exact"/>
          <w:jc w:val="center"/>
        </w:trPr>
        <w:tc>
          <w:tcPr>
            <w:tcW w:w="808" w:type="pct"/>
            <w:tcBorders>
              <w:top w:val="single" w:color="auto" w:sz="4" w:space="0"/>
              <w:left w:val="single" w:color="auto" w:sz="8"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505AB0CB">
            <w:pPr>
              <w:widowControl/>
              <w:jc w:val="center"/>
              <w:textAlignment w:val="top"/>
              <w:rPr>
                <w:color w:val="000000"/>
                <w:kern w:val="0"/>
                <w:sz w:val="18"/>
                <w:szCs w:val="18"/>
              </w:rPr>
            </w:pPr>
            <w:r>
              <w:rPr>
                <w:color w:val="000000"/>
                <w:kern w:val="0"/>
                <w:sz w:val="18"/>
                <w:szCs w:val="18"/>
                <w:lang w:bidi="ar"/>
              </w:rPr>
              <w:t>菠萝丁珊瑚</w:t>
            </w:r>
          </w:p>
        </w:tc>
        <w:tc>
          <w:tcPr>
            <w:tcW w:w="1291" w:type="pct"/>
            <w:tcBorders>
              <w:top w:val="single" w:color="auto" w:sz="4"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16CEA1C0">
            <w:pPr>
              <w:widowControl/>
              <w:adjustRightInd w:val="0"/>
              <w:spacing w:line="280" w:lineRule="atLeast"/>
              <w:jc w:val="left"/>
              <w:rPr>
                <w:color w:val="000000"/>
                <w:kern w:val="0"/>
                <w:sz w:val="18"/>
                <w:szCs w:val="18"/>
              </w:rPr>
            </w:pPr>
            <w:r>
              <w:rPr>
                <w:color w:val="000000"/>
                <w:kern w:val="0"/>
                <w:sz w:val="18"/>
                <w:szCs w:val="18"/>
                <w:lang w:bidi="ar"/>
              </w:rPr>
              <w:t>盔形珊瑚属（</w:t>
            </w:r>
            <w:r>
              <w:rPr>
                <w:i/>
                <w:color w:val="000000"/>
                <w:kern w:val="0"/>
                <w:sz w:val="18"/>
                <w:szCs w:val="18"/>
                <w:lang w:bidi="ar"/>
              </w:rPr>
              <w:t>Galaxea</w:t>
            </w:r>
            <w:r>
              <w:rPr>
                <w:color w:val="000000"/>
                <w:kern w:val="0"/>
                <w:sz w:val="18"/>
                <w:szCs w:val="18"/>
                <w:lang w:bidi="ar"/>
              </w:rPr>
              <w:t>）</w:t>
            </w:r>
          </w:p>
        </w:tc>
        <w:tc>
          <w:tcPr>
            <w:tcW w:w="939" w:type="pct"/>
            <w:vMerge w:val="continue"/>
            <w:tcBorders>
              <w:top w:val="single" w:color="auto" w:sz="4"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7C3AB485">
            <w:pPr>
              <w:rPr>
                <w:sz w:val="20"/>
                <w:szCs w:val="20"/>
              </w:rPr>
            </w:pPr>
          </w:p>
        </w:tc>
        <w:tc>
          <w:tcPr>
            <w:tcW w:w="1961" w:type="pct"/>
            <w:vMerge w:val="continue"/>
            <w:tcBorders>
              <w:top w:val="single" w:color="auto" w:sz="4" w:space="0"/>
              <w:left w:val="single" w:color="auto" w:sz="4" w:space="0"/>
              <w:bottom w:val="single" w:color="auto" w:sz="4" w:space="0"/>
              <w:right w:val="single" w:color="auto" w:sz="8" w:space="0"/>
            </w:tcBorders>
            <w:shd w:val="clear" w:color="auto" w:fill="FFFFFF"/>
            <w:tcMar>
              <w:top w:w="120" w:type="dxa"/>
              <w:left w:w="180" w:type="dxa"/>
              <w:bottom w:w="120" w:type="dxa"/>
              <w:right w:w="180" w:type="dxa"/>
            </w:tcMar>
            <w:vAlign w:val="center"/>
          </w:tcPr>
          <w:p w14:paraId="35BCCCBE">
            <w:pPr>
              <w:rPr>
                <w:sz w:val="20"/>
                <w:szCs w:val="20"/>
              </w:rPr>
            </w:pPr>
          </w:p>
        </w:tc>
      </w:tr>
      <w:tr w14:paraId="320E34A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454" w:hRule="exact"/>
          <w:jc w:val="center"/>
        </w:trPr>
        <w:tc>
          <w:tcPr>
            <w:tcW w:w="1400" w:type="dxa"/>
            <w:tcBorders>
              <w:top w:val="single" w:color="auto" w:sz="4" w:space="0"/>
              <w:left w:val="single" w:color="auto" w:sz="8"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0B5095F0">
            <w:pPr>
              <w:widowControl/>
              <w:jc w:val="center"/>
              <w:textAlignment w:val="top"/>
              <w:rPr>
                <w:color w:val="000000"/>
                <w:kern w:val="0"/>
                <w:sz w:val="18"/>
                <w:szCs w:val="18"/>
                <w:lang w:bidi="ar"/>
              </w:rPr>
            </w:pPr>
            <w:r>
              <w:rPr>
                <w:color w:val="000000"/>
                <w:kern w:val="0"/>
                <w:sz w:val="18"/>
                <w:szCs w:val="18"/>
                <w:lang w:bidi="ar"/>
              </w:rPr>
              <w:t>鹿角珊瑚</w:t>
            </w:r>
          </w:p>
        </w:tc>
        <w:tc>
          <w:tcPr>
            <w:tcW w:w="2237" w:type="dxa"/>
            <w:tcBorders>
              <w:top w:val="single" w:color="auto" w:sz="4"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3BC07596">
            <w:pPr>
              <w:widowControl/>
              <w:adjustRightInd w:val="0"/>
              <w:spacing w:line="280" w:lineRule="atLeast"/>
              <w:jc w:val="left"/>
              <w:rPr>
                <w:color w:val="000000"/>
                <w:kern w:val="0"/>
                <w:sz w:val="18"/>
                <w:szCs w:val="18"/>
                <w:lang w:bidi="ar"/>
              </w:rPr>
            </w:pPr>
            <w:r>
              <w:rPr>
                <w:color w:val="000000"/>
                <w:kern w:val="0"/>
                <w:sz w:val="18"/>
                <w:szCs w:val="18"/>
                <w:lang w:bidi="ar"/>
              </w:rPr>
              <w:t>鹿角珊瑚属（</w:t>
            </w:r>
            <w:r>
              <w:rPr>
                <w:i/>
                <w:color w:val="000000"/>
                <w:kern w:val="0"/>
                <w:sz w:val="18"/>
                <w:szCs w:val="18"/>
                <w:lang w:bidi="ar"/>
              </w:rPr>
              <w:t>Acropora</w:t>
            </w:r>
            <w:r>
              <w:rPr>
                <w:color w:val="000000"/>
                <w:kern w:val="0"/>
                <w:sz w:val="18"/>
                <w:szCs w:val="18"/>
                <w:lang w:bidi="ar"/>
              </w:rPr>
              <w:t>）</w:t>
            </w:r>
          </w:p>
        </w:tc>
        <w:tc>
          <w:tcPr>
            <w:tcW w:w="1627" w:type="dxa"/>
            <w:vMerge w:val="restart"/>
            <w:tcBorders>
              <w:top w:val="single" w:color="auto" w:sz="4"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1731AF4C">
            <w:pPr>
              <w:widowControl/>
              <w:jc w:val="center"/>
              <w:textAlignment w:val="top"/>
              <w:rPr>
                <w:sz w:val="20"/>
                <w:szCs w:val="20"/>
              </w:rPr>
            </w:pPr>
            <w:r>
              <w:rPr>
                <w:color w:val="000000"/>
                <w:kern w:val="0"/>
                <w:sz w:val="18"/>
                <w:szCs w:val="18"/>
                <w:lang w:bidi="ar"/>
              </w:rPr>
              <w:t>共生营养主导型，口器微小，主要依赖虫黄藻光合作用，摄食需求低</w:t>
            </w:r>
          </w:p>
        </w:tc>
        <w:tc>
          <w:tcPr>
            <w:tcW w:w="3399" w:type="dxa"/>
            <w:vMerge w:val="restart"/>
            <w:tcBorders>
              <w:top w:val="single" w:color="auto" w:sz="4" w:space="0"/>
              <w:left w:val="single" w:color="auto" w:sz="4" w:space="0"/>
              <w:bottom w:val="single" w:color="auto" w:sz="4" w:space="0"/>
              <w:right w:val="single" w:color="auto" w:sz="8" w:space="0"/>
            </w:tcBorders>
            <w:shd w:val="clear" w:color="auto" w:fill="FFFFFF"/>
            <w:tcMar>
              <w:top w:w="120" w:type="dxa"/>
              <w:left w:w="180" w:type="dxa"/>
              <w:bottom w:w="120" w:type="dxa"/>
              <w:right w:w="180" w:type="dxa"/>
            </w:tcMar>
            <w:vAlign w:val="center"/>
          </w:tcPr>
          <w:p w14:paraId="252A3B1A">
            <w:pPr>
              <w:widowControl/>
              <w:adjustRightInd w:val="0"/>
              <w:jc w:val="left"/>
              <w:rPr>
                <w:color w:val="404040"/>
                <w:kern w:val="0"/>
                <w:sz w:val="18"/>
                <w:szCs w:val="18"/>
              </w:rPr>
            </w:pPr>
            <w:r>
              <w:rPr>
                <w:color w:val="404040"/>
                <w:kern w:val="0"/>
                <w:sz w:val="18"/>
                <w:szCs w:val="18"/>
                <w:lang w:bidi="ar"/>
              </w:rPr>
              <w:t>1.可补充粒径5-50 μm的微藻或珊瑚专用粉状饲料。</w:t>
            </w:r>
          </w:p>
          <w:p w14:paraId="29B505A2">
            <w:pPr>
              <w:widowControl/>
              <w:adjustRightInd w:val="0"/>
              <w:jc w:val="left"/>
              <w:rPr>
                <w:color w:val="404040"/>
                <w:kern w:val="0"/>
                <w:sz w:val="18"/>
                <w:szCs w:val="18"/>
              </w:rPr>
            </w:pPr>
            <w:r>
              <w:rPr>
                <w:color w:val="404040"/>
                <w:kern w:val="0"/>
                <w:sz w:val="18"/>
                <w:szCs w:val="18"/>
                <w:lang w:bidi="ar"/>
              </w:rPr>
              <w:t>2.应关闭过滤设备，将饲料溶解后均匀泼洒于水体表层。</w:t>
            </w:r>
          </w:p>
          <w:p w14:paraId="2F7B7170">
            <w:pPr>
              <w:widowControl/>
              <w:adjustRightInd w:val="0"/>
              <w:jc w:val="left"/>
              <w:rPr>
                <w:color w:val="404040"/>
                <w:kern w:val="0"/>
                <w:sz w:val="18"/>
                <w:szCs w:val="18"/>
              </w:rPr>
            </w:pPr>
            <w:r>
              <w:rPr>
                <w:color w:val="404040"/>
                <w:kern w:val="0"/>
                <w:sz w:val="18"/>
                <w:szCs w:val="18"/>
                <w:lang w:bidi="ar"/>
              </w:rPr>
              <w:t>3.每7天投喂1-3次，单次投喂量≤0.5 mg/L。</w:t>
            </w:r>
          </w:p>
          <w:p w14:paraId="4D27F53B">
            <w:pPr>
              <w:widowControl/>
              <w:adjustRightInd w:val="0"/>
              <w:jc w:val="left"/>
              <w:rPr>
                <w:sz w:val="20"/>
                <w:szCs w:val="20"/>
              </w:rPr>
            </w:pPr>
            <w:r>
              <w:rPr>
                <w:color w:val="404040"/>
                <w:kern w:val="0"/>
                <w:sz w:val="18"/>
                <w:szCs w:val="18"/>
                <w:lang w:bidi="ar"/>
              </w:rPr>
              <w:t>4.应以维持稳定光照（PAR 200-400 μmol•m⁻²•s⁻¹）为主。</w:t>
            </w:r>
          </w:p>
        </w:tc>
      </w:tr>
      <w:tr w14:paraId="37D13B6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454" w:hRule="exact"/>
          <w:jc w:val="center"/>
        </w:trPr>
        <w:tc>
          <w:tcPr>
            <w:tcW w:w="1400" w:type="dxa"/>
            <w:tcBorders>
              <w:top w:val="single" w:color="auto" w:sz="4" w:space="0"/>
              <w:left w:val="single" w:color="auto" w:sz="8"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558C26AA">
            <w:pPr>
              <w:widowControl/>
              <w:jc w:val="center"/>
              <w:textAlignment w:val="top"/>
              <w:rPr>
                <w:color w:val="000000"/>
                <w:kern w:val="0"/>
                <w:sz w:val="18"/>
                <w:szCs w:val="18"/>
                <w:lang w:bidi="ar"/>
              </w:rPr>
            </w:pPr>
            <w:r>
              <w:rPr>
                <w:color w:val="000000"/>
                <w:kern w:val="0"/>
                <w:sz w:val="18"/>
                <w:szCs w:val="18"/>
                <w:lang w:bidi="ar"/>
              </w:rPr>
              <w:t>猫骨珊瑚</w:t>
            </w:r>
          </w:p>
        </w:tc>
        <w:tc>
          <w:tcPr>
            <w:tcW w:w="2237" w:type="dxa"/>
            <w:tcBorders>
              <w:top w:val="single" w:color="auto" w:sz="4"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466F63C2">
            <w:pPr>
              <w:widowControl/>
              <w:adjustRightInd w:val="0"/>
              <w:spacing w:line="280" w:lineRule="atLeast"/>
              <w:jc w:val="left"/>
              <w:rPr>
                <w:color w:val="000000"/>
                <w:kern w:val="0"/>
                <w:sz w:val="18"/>
                <w:szCs w:val="18"/>
                <w:lang w:bidi="ar"/>
              </w:rPr>
            </w:pPr>
            <w:r>
              <w:rPr>
                <w:color w:val="000000"/>
                <w:kern w:val="0"/>
                <w:sz w:val="18"/>
                <w:szCs w:val="18"/>
                <w:lang w:bidi="ar"/>
              </w:rPr>
              <w:t>柱状珊瑚属（</w:t>
            </w:r>
            <w:r>
              <w:rPr>
                <w:i/>
                <w:color w:val="000000"/>
                <w:kern w:val="0"/>
                <w:sz w:val="18"/>
                <w:szCs w:val="18"/>
                <w:lang w:bidi="ar"/>
              </w:rPr>
              <w:t>Stylophora</w:t>
            </w:r>
            <w:r>
              <w:rPr>
                <w:color w:val="000000"/>
                <w:kern w:val="0"/>
                <w:sz w:val="18"/>
                <w:szCs w:val="18"/>
                <w:lang w:bidi="ar"/>
              </w:rPr>
              <w:t>）</w:t>
            </w:r>
          </w:p>
        </w:tc>
        <w:tc>
          <w:tcPr>
            <w:tcW w:w="1627" w:type="dxa"/>
            <w:vMerge w:val="continue"/>
            <w:tcBorders>
              <w:top w:val="single" w:color="auto" w:sz="4" w:space="0"/>
              <w:left w:val="single" w:color="auto" w:sz="4" w:space="0"/>
              <w:bottom w:val="single" w:color="auto" w:sz="4" w:space="0"/>
              <w:right w:val="single" w:color="auto" w:sz="4" w:space="0"/>
            </w:tcBorders>
            <w:shd w:val="clear" w:color="auto" w:fill="FFFFFF"/>
            <w:tcMar>
              <w:top w:w="120" w:type="dxa"/>
              <w:left w:w="180" w:type="dxa"/>
              <w:bottom w:w="120" w:type="dxa"/>
              <w:right w:w="180" w:type="dxa"/>
            </w:tcMar>
            <w:vAlign w:val="center"/>
          </w:tcPr>
          <w:p w14:paraId="6A7327B9">
            <w:pPr>
              <w:rPr>
                <w:sz w:val="20"/>
                <w:szCs w:val="20"/>
              </w:rPr>
            </w:pPr>
          </w:p>
        </w:tc>
        <w:tc>
          <w:tcPr>
            <w:tcW w:w="3399" w:type="dxa"/>
            <w:vMerge w:val="continue"/>
            <w:tcBorders>
              <w:top w:val="single" w:color="auto" w:sz="4" w:space="0"/>
              <w:left w:val="single" w:color="auto" w:sz="4" w:space="0"/>
              <w:bottom w:val="single" w:color="auto" w:sz="4" w:space="0"/>
              <w:right w:val="single" w:color="auto" w:sz="8" w:space="0"/>
            </w:tcBorders>
            <w:shd w:val="clear" w:color="auto" w:fill="FFFFFF"/>
            <w:tcMar>
              <w:top w:w="120" w:type="dxa"/>
              <w:left w:w="180" w:type="dxa"/>
              <w:bottom w:w="120" w:type="dxa"/>
              <w:right w:w="180" w:type="dxa"/>
            </w:tcMar>
            <w:vAlign w:val="center"/>
          </w:tcPr>
          <w:p w14:paraId="030D4AAB">
            <w:pPr>
              <w:rPr>
                <w:sz w:val="20"/>
                <w:szCs w:val="20"/>
              </w:rPr>
            </w:pPr>
          </w:p>
        </w:tc>
      </w:tr>
      <w:tr w14:paraId="5E4F4EF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FFFFFF"/>
          <w:tblCellMar>
            <w:top w:w="0" w:type="dxa"/>
            <w:left w:w="0" w:type="dxa"/>
            <w:bottom w:w="0" w:type="dxa"/>
            <w:right w:w="0" w:type="dxa"/>
          </w:tblCellMar>
        </w:tblPrEx>
        <w:trPr>
          <w:trHeight w:val="454" w:hRule="exact"/>
          <w:jc w:val="center"/>
        </w:trPr>
        <w:tc>
          <w:tcPr>
            <w:tcW w:w="1400" w:type="dxa"/>
            <w:tcBorders>
              <w:top w:val="single" w:color="auto" w:sz="4" w:space="0"/>
              <w:left w:val="single" w:color="auto" w:sz="8" w:space="0"/>
              <w:bottom w:val="single" w:color="auto" w:sz="8" w:space="0"/>
              <w:right w:val="single" w:color="auto" w:sz="4" w:space="0"/>
            </w:tcBorders>
            <w:shd w:val="clear" w:color="auto" w:fill="FFFFFF"/>
            <w:tcMar>
              <w:top w:w="120" w:type="dxa"/>
              <w:left w:w="180" w:type="dxa"/>
              <w:bottom w:w="120" w:type="dxa"/>
              <w:right w:w="180" w:type="dxa"/>
            </w:tcMar>
            <w:vAlign w:val="center"/>
          </w:tcPr>
          <w:p w14:paraId="2EEB6AF6">
            <w:pPr>
              <w:widowControl/>
              <w:jc w:val="center"/>
              <w:textAlignment w:val="top"/>
              <w:rPr>
                <w:color w:val="000000"/>
                <w:kern w:val="0"/>
                <w:sz w:val="18"/>
                <w:szCs w:val="18"/>
                <w:lang w:bidi="ar"/>
              </w:rPr>
            </w:pPr>
            <w:r>
              <w:rPr>
                <w:color w:val="000000"/>
                <w:kern w:val="0"/>
                <w:sz w:val="18"/>
                <w:szCs w:val="18"/>
                <w:lang w:bidi="ar"/>
              </w:rPr>
              <w:t>瓦片珊瑚</w:t>
            </w:r>
          </w:p>
        </w:tc>
        <w:tc>
          <w:tcPr>
            <w:tcW w:w="2237" w:type="dxa"/>
            <w:tcBorders>
              <w:top w:val="single" w:color="auto" w:sz="4" w:space="0"/>
              <w:left w:val="single" w:color="auto" w:sz="4" w:space="0"/>
              <w:bottom w:val="single" w:color="auto" w:sz="8" w:space="0"/>
              <w:right w:val="single" w:color="auto" w:sz="4" w:space="0"/>
            </w:tcBorders>
            <w:shd w:val="clear" w:color="auto" w:fill="FFFFFF"/>
            <w:tcMar>
              <w:top w:w="120" w:type="dxa"/>
              <w:left w:w="180" w:type="dxa"/>
              <w:bottom w:w="120" w:type="dxa"/>
              <w:right w:w="180" w:type="dxa"/>
            </w:tcMar>
            <w:vAlign w:val="center"/>
          </w:tcPr>
          <w:p w14:paraId="10ABC5EE">
            <w:pPr>
              <w:widowControl/>
              <w:adjustRightInd w:val="0"/>
              <w:spacing w:line="280" w:lineRule="atLeast"/>
              <w:jc w:val="left"/>
              <w:rPr>
                <w:color w:val="000000"/>
                <w:kern w:val="0"/>
                <w:sz w:val="18"/>
                <w:szCs w:val="18"/>
                <w:lang w:bidi="ar"/>
              </w:rPr>
            </w:pPr>
            <w:r>
              <w:rPr>
                <w:color w:val="000000"/>
                <w:kern w:val="0"/>
                <w:sz w:val="18"/>
                <w:szCs w:val="18"/>
                <w:lang w:bidi="ar"/>
              </w:rPr>
              <w:t>蔷薇珊瑚属（</w:t>
            </w:r>
            <w:r>
              <w:rPr>
                <w:i/>
                <w:color w:val="000000"/>
                <w:kern w:val="0"/>
                <w:sz w:val="18"/>
                <w:szCs w:val="18"/>
                <w:lang w:bidi="ar"/>
              </w:rPr>
              <w:t>Montipora</w:t>
            </w:r>
            <w:r>
              <w:rPr>
                <w:color w:val="000000"/>
                <w:kern w:val="0"/>
                <w:sz w:val="18"/>
                <w:szCs w:val="18"/>
                <w:lang w:bidi="ar"/>
              </w:rPr>
              <w:t>）</w:t>
            </w:r>
          </w:p>
        </w:tc>
        <w:tc>
          <w:tcPr>
            <w:tcW w:w="1627" w:type="dxa"/>
            <w:vMerge w:val="continue"/>
            <w:tcBorders>
              <w:top w:val="single" w:color="auto" w:sz="4" w:space="0"/>
              <w:left w:val="single" w:color="auto" w:sz="4" w:space="0"/>
              <w:bottom w:val="single" w:color="auto" w:sz="8" w:space="0"/>
              <w:right w:val="single" w:color="auto" w:sz="4" w:space="0"/>
            </w:tcBorders>
            <w:shd w:val="clear" w:color="auto" w:fill="FFFFFF"/>
            <w:tcMar>
              <w:top w:w="120" w:type="dxa"/>
              <w:left w:w="180" w:type="dxa"/>
              <w:bottom w:w="120" w:type="dxa"/>
              <w:right w:w="180" w:type="dxa"/>
            </w:tcMar>
            <w:vAlign w:val="center"/>
          </w:tcPr>
          <w:p w14:paraId="2CF78BC7">
            <w:pPr>
              <w:rPr>
                <w:sz w:val="20"/>
                <w:szCs w:val="20"/>
              </w:rPr>
            </w:pPr>
          </w:p>
        </w:tc>
        <w:tc>
          <w:tcPr>
            <w:tcW w:w="3399" w:type="dxa"/>
            <w:vMerge w:val="continue"/>
            <w:tcBorders>
              <w:top w:val="single" w:color="auto" w:sz="4" w:space="0"/>
              <w:left w:val="single" w:color="auto" w:sz="4" w:space="0"/>
              <w:bottom w:val="single" w:color="auto" w:sz="8" w:space="0"/>
              <w:right w:val="single" w:color="auto" w:sz="8" w:space="0"/>
            </w:tcBorders>
            <w:shd w:val="clear" w:color="auto" w:fill="FFFFFF"/>
            <w:tcMar>
              <w:top w:w="120" w:type="dxa"/>
              <w:left w:w="180" w:type="dxa"/>
              <w:bottom w:w="120" w:type="dxa"/>
              <w:right w:w="180" w:type="dxa"/>
            </w:tcMar>
            <w:vAlign w:val="center"/>
          </w:tcPr>
          <w:p w14:paraId="3B56D94E">
            <w:pPr>
              <w:rPr>
                <w:sz w:val="20"/>
                <w:szCs w:val="20"/>
              </w:rPr>
            </w:pPr>
          </w:p>
        </w:tc>
      </w:tr>
    </w:tbl>
    <w:p w14:paraId="728436A1">
      <w:pPr>
        <w:ind w:firstLine="562" w:firstLineChars="200"/>
        <w:rPr>
          <w:rFonts w:eastAsia="仿宋"/>
          <w:sz w:val="28"/>
          <w:szCs w:val="28"/>
        </w:rPr>
      </w:pPr>
      <w:r>
        <w:rPr>
          <w:rFonts w:eastAsia="仿宋"/>
          <w:b/>
          <w:bCs/>
          <w:sz w:val="28"/>
          <w:szCs w:val="28"/>
        </w:rPr>
        <w:t>分类学与生物学特性：</w:t>
      </w:r>
      <w:r>
        <w:rPr>
          <w:rFonts w:eastAsia="仿宋"/>
          <w:sz w:val="28"/>
          <w:szCs w:val="28"/>
        </w:rPr>
        <w:t>严格依据《中国动物志・腔肠动物门・珊瑚虫纲》中对石珊瑚的分类体系，明确</w:t>
      </w:r>
      <w:r>
        <w:rPr>
          <w:rFonts w:hint="eastAsia" w:eastAsia="仿宋"/>
          <w:sz w:val="28"/>
          <w:szCs w:val="28"/>
        </w:rPr>
        <w:t>“</w:t>
      </w:r>
      <w:r>
        <w:rPr>
          <w:rFonts w:eastAsia="仿宋"/>
          <w:sz w:val="28"/>
          <w:szCs w:val="28"/>
        </w:rPr>
        <w:t>脑珊瑚-扁脑珊瑚属</w:t>
      </w:r>
      <w:r>
        <w:rPr>
          <w:rFonts w:hint="eastAsia" w:eastAsia="仿宋"/>
          <w:sz w:val="28"/>
          <w:szCs w:val="28"/>
        </w:rPr>
        <w:t>”“</w:t>
      </w:r>
      <w:r>
        <w:rPr>
          <w:rFonts w:eastAsia="仿宋"/>
          <w:sz w:val="28"/>
          <w:szCs w:val="28"/>
        </w:rPr>
        <w:t>鹿角珊瑚-鹿角珊瑚属</w:t>
      </w:r>
      <w:r>
        <w:rPr>
          <w:rFonts w:hint="eastAsia" w:eastAsia="仿宋"/>
          <w:sz w:val="28"/>
          <w:szCs w:val="28"/>
        </w:rPr>
        <w:t>”</w:t>
      </w:r>
      <w:r>
        <w:rPr>
          <w:rFonts w:eastAsia="仿宋"/>
          <w:sz w:val="28"/>
          <w:szCs w:val="28"/>
        </w:rPr>
        <w:t>等物种与属名的对应关系，确保分类科学性。同时，基于不同属珊瑚的形态特征（如口器大小、触手结构）和摄食机制（主动捕捉、水流过滤、共生藻营养），划分</w:t>
      </w:r>
      <w:r>
        <w:rPr>
          <w:rFonts w:hint="eastAsia" w:eastAsia="仿宋"/>
          <w:sz w:val="28"/>
          <w:szCs w:val="28"/>
        </w:rPr>
        <w:t>“</w:t>
      </w:r>
      <w:r>
        <w:rPr>
          <w:rFonts w:eastAsia="仿宋"/>
          <w:sz w:val="28"/>
          <w:szCs w:val="28"/>
        </w:rPr>
        <w:t>主动捕食型</w:t>
      </w:r>
      <w:r>
        <w:rPr>
          <w:rFonts w:hint="eastAsia" w:eastAsia="仿宋"/>
          <w:sz w:val="28"/>
          <w:szCs w:val="28"/>
        </w:rPr>
        <w:t>”“</w:t>
      </w:r>
      <w:r>
        <w:rPr>
          <w:rFonts w:eastAsia="仿宋"/>
          <w:sz w:val="28"/>
          <w:szCs w:val="28"/>
        </w:rPr>
        <w:t>滤食依赖型</w:t>
      </w:r>
      <w:r>
        <w:rPr>
          <w:rFonts w:hint="eastAsia" w:eastAsia="仿宋"/>
          <w:sz w:val="28"/>
          <w:szCs w:val="28"/>
        </w:rPr>
        <w:t>”“</w:t>
      </w:r>
      <w:r>
        <w:rPr>
          <w:rFonts w:eastAsia="仿宋"/>
          <w:sz w:val="28"/>
          <w:szCs w:val="28"/>
        </w:rPr>
        <w:t>共生营养主导型</w:t>
      </w:r>
      <w:r>
        <w:rPr>
          <w:rFonts w:hint="eastAsia" w:eastAsia="仿宋"/>
          <w:sz w:val="28"/>
          <w:szCs w:val="28"/>
        </w:rPr>
        <w:t>”</w:t>
      </w:r>
      <w:r>
        <w:rPr>
          <w:rFonts w:eastAsia="仿宋"/>
          <w:sz w:val="28"/>
          <w:szCs w:val="28"/>
        </w:rPr>
        <w:t>三大类，为差异化喂养提供基础。</w:t>
      </w:r>
    </w:p>
    <w:p w14:paraId="06E57A0C">
      <w:pPr>
        <w:ind w:firstLine="562" w:firstLineChars="200"/>
        <w:rPr>
          <w:rFonts w:eastAsia="仿宋"/>
          <w:sz w:val="28"/>
          <w:szCs w:val="28"/>
        </w:rPr>
      </w:pPr>
      <w:r>
        <w:rPr>
          <w:rFonts w:eastAsia="仿宋"/>
          <w:b/>
          <w:bCs/>
          <w:sz w:val="28"/>
          <w:szCs w:val="28"/>
        </w:rPr>
        <w:t>摄食习性试验数据：</w:t>
      </w:r>
      <w:r>
        <w:rPr>
          <w:rFonts w:eastAsia="仿宋"/>
          <w:sz w:val="28"/>
          <w:szCs w:val="28"/>
        </w:rPr>
        <w:t>通过对照试验验证不同饲料类型与投喂频率的适配性——例如，脑珊瑚（主动捕食型）的</w:t>
      </w:r>
      <w:r>
        <w:rPr>
          <w:rFonts w:hint="eastAsia" w:eastAsia="仿宋"/>
          <w:sz w:val="28"/>
          <w:szCs w:val="28"/>
        </w:rPr>
        <w:t>“</w:t>
      </w:r>
      <w:r>
        <w:rPr>
          <w:rFonts w:eastAsia="仿宋"/>
          <w:sz w:val="28"/>
          <w:szCs w:val="28"/>
        </w:rPr>
        <w:t>虾肉投喂、每7-14天1次</w:t>
      </w:r>
      <w:r>
        <w:rPr>
          <w:rFonts w:hint="eastAsia" w:eastAsia="仿宋"/>
          <w:sz w:val="28"/>
          <w:szCs w:val="28"/>
        </w:rPr>
        <w:t>”</w:t>
      </w:r>
      <w:r>
        <w:rPr>
          <w:rFonts w:eastAsia="仿宋"/>
          <w:sz w:val="28"/>
          <w:szCs w:val="28"/>
        </w:rPr>
        <w:t>方案，源于试验显示该频率下珊瑚生长速率（月增重5.2%）显著高于高频投喂（易导致水质污染）；鹿角珊瑚（共生营养主导型）的</w:t>
      </w:r>
      <w:r>
        <w:rPr>
          <w:rFonts w:hint="eastAsia" w:eastAsia="仿宋"/>
          <w:sz w:val="28"/>
          <w:szCs w:val="28"/>
        </w:rPr>
        <w:t>“</w:t>
      </w:r>
      <w:r>
        <w:rPr>
          <w:rFonts w:eastAsia="仿宋"/>
          <w:sz w:val="28"/>
          <w:szCs w:val="28"/>
        </w:rPr>
        <w:t>5-50μm微藻、每周1-3次</w:t>
      </w:r>
      <w:r>
        <w:rPr>
          <w:rFonts w:hint="eastAsia" w:eastAsia="仿宋"/>
          <w:sz w:val="28"/>
          <w:szCs w:val="28"/>
        </w:rPr>
        <w:t>”</w:t>
      </w:r>
      <w:r>
        <w:rPr>
          <w:rFonts w:eastAsia="仿宋"/>
          <w:sz w:val="28"/>
          <w:szCs w:val="28"/>
        </w:rPr>
        <w:t>标准，基于其口器微小（直径&lt;1mm）的解剖特征，过量投喂会引发磷酸盐超标（试验显示单次投喂&gt;0.5mg/L时，磷酸盐浓度超0.03ppm风险增加60%）。</w:t>
      </w:r>
    </w:p>
    <w:p w14:paraId="369A6FBD">
      <w:pPr>
        <w:ind w:firstLine="562" w:firstLineChars="200"/>
        <w:rPr>
          <w:rFonts w:eastAsia="仿宋"/>
          <w:sz w:val="28"/>
          <w:szCs w:val="28"/>
        </w:rPr>
      </w:pPr>
      <w:r>
        <w:rPr>
          <w:rFonts w:eastAsia="仿宋"/>
          <w:b/>
          <w:bCs/>
          <w:sz w:val="28"/>
          <w:szCs w:val="28"/>
        </w:rPr>
        <w:t>行业实践与生态适应性：</w:t>
      </w:r>
      <w:r>
        <w:rPr>
          <w:rFonts w:eastAsia="仿宋"/>
          <w:sz w:val="28"/>
          <w:szCs w:val="28"/>
        </w:rPr>
        <w:t>吸纳规模化养殖经验，如滤食依赖型珊瑚（榔头珊瑚等）</w:t>
      </w:r>
      <w:r>
        <w:rPr>
          <w:rFonts w:hint="eastAsia" w:eastAsia="仿宋"/>
          <w:sz w:val="28"/>
          <w:szCs w:val="28"/>
        </w:rPr>
        <w:t>“</w:t>
      </w:r>
      <w:r>
        <w:rPr>
          <w:rFonts w:eastAsia="仿宋"/>
          <w:sz w:val="28"/>
          <w:szCs w:val="28"/>
        </w:rPr>
        <w:t>开启造流设备使饵料悬浮</w:t>
      </w:r>
      <w:r>
        <w:rPr>
          <w:rFonts w:hint="eastAsia" w:eastAsia="仿宋"/>
          <w:sz w:val="28"/>
          <w:szCs w:val="28"/>
        </w:rPr>
        <w:t>”</w:t>
      </w:r>
      <w:r>
        <w:rPr>
          <w:rFonts w:eastAsia="仿宋"/>
          <w:sz w:val="28"/>
          <w:szCs w:val="28"/>
        </w:rPr>
        <w:t>的操作，符合其通过水流过滤食物的自然习性；</w:t>
      </w:r>
      <w:r>
        <w:rPr>
          <w:rFonts w:hint="eastAsia" w:eastAsia="仿宋"/>
          <w:sz w:val="28"/>
          <w:szCs w:val="28"/>
        </w:rPr>
        <w:t>“</w:t>
      </w:r>
      <w:r>
        <w:rPr>
          <w:rFonts w:eastAsia="仿宋"/>
          <w:sz w:val="28"/>
          <w:szCs w:val="28"/>
        </w:rPr>
        <w:t>投喂后2小时启动蛋白质分离器</w:t>
      </w:r>
      <w:r>
        <w:rPr>
          <w:rFonts w:hint="eastAsia" w:eastAsia="仿宋"/>
          <w:sz w:val="28"/>
          <w:szCs w:val="28"/>
        </w:rPr>
        <w:t>”</w:t>
      </w:r>
      <w:r>
        <w:rPr>
          <w:rFonts w:eastAsia="仿宋"/>
          <w:sz w:val="28"/>
          <w:szCs w:val="28"/>
        </w:rPr>
        <w:t>的要求，是实践中总结的控污有效手段（可降低残饵导致的氨氮升高风险40%）。对于共生营养主导型珊瑚，强调</w:t>
      </w:r>
      <w:r>
        <w:rPr>
          <w:rFonts w:hint="eastAsia" w:eastAsia="仿宋"/>
          <w:sz w:val="28"/>
          <w:szCs w:val="28"/>
        </w:rPr>
        <w:t>“</w:t>
      </w:r>
      <w:r>
        <w:rPr>
          <w:rFonts w:eastAsia="仿宋"/>
          <w:sz w:val="28"/>
          <w:szCs w:val="28"/>
        </w:rPr>
        <w:t>稳定光照（PAR 200-400 μmol・m⁻²・s⁻¹）</w:t>
      </w:r>
      <w:r>
        <w:rPr>
          <w:rFonts w:hint="eastAsia" w:eastAsia="仿宋"/>
          <w:sz w:val="28"/>
          <w:szCs w:val="28"/>
        </w:rPr>
        <w:t>”</w:t>
      </w:r>
      <w:r>
        <w:rPr>
          <w:rFonts w:eastAsia="仿宋"/>
          <w:sz w:val="28"/>
          <w:szCs w:val="28"/>
        </w:rPr>
        <w:t>，依据虫黄藻光合作用效率试验数据——该光照范围下藻细胞密度最高，可满足珊瑚70%以上的能量需求。</w:t>
      </w:r>
    </w:p>
    <w:p w14:paraId="77ED3B5B">
      <w:pPr>
        <w:ind w:firstLine="562" w:firstLineChars="200"/>
        <w:rPr>
          <w:rFonts w:eastAsia="仿宋"/>
          <w:sz w:val="28"/>
          <w:szCs w:val="28"/>
        </w:rPr>
      </w:pPr>
      <w:r>
        <w:rPr>
          <w:rFonts w:eastAsia="仿宋"/>
          <w:b/>
          <w:bCs/>
          <w:sz w:val="28"/>
          <w:szCs w:val="28"/>
        </w:rPr>
        <w:t>安全性与可行性平衡：</w:t>
      </w:r>
      <w:r>
        <w:rPr>
          <w:rFonts w:eastAsia="仿宋"/>
          <w:sz w:val="28"/>
          <w:szCs w:val="28"/>
        </w:rPr>
        <w:t>饲料粒径的限定（如主动捕食型饵料为口器直径1/2、滤食型≤200 μm），既保证珊瑚可摄食（避免饵料过大无法捕捉或过小流失），又减少残饵污染；投喂频率的设定（如主动型1-2周1次、共生型每周1-3次），则综合考虑珊瑚代谢速率与水质承载能力，经6个月养殖验证，该频率下水质指标（硝酸盐1-3 ppm、磷酸盐&lt; 0.03 ppm）可稳定达标。</w:t>
      </w:r>
    </w:p>
    <w:p w14:paraId="7C8DDC38">
      <w:pPr>
        <w:ind w:firstLine="560" w:firstLineChars="200"/>
        <w:rPr>
          <w:rFonts w:eastAsia="仿宋"/>
          <w:sz w:val="28"/>
          <w:szCs w:val="28"/>
        </w:rPr>
      </w:pPr>
      <w:r>
        <w:rPr>
          <w:rFonts w:eastAsia="仿宋"/>
          <w:sz w:val="28"/>
          <w:szCs w:val="28"/>
        </w:rPr>
        <w:t>综上，表格内容以分类学为基础、试验数据为支撑、行业实践为补充，形成科学适配不同珊瑚摄食需求的喂养规范，兼顾营养供给与养殖环境稳定。</w:t>
      </w:r>
    </w:p>
    <w:p w14:paraId="53B1B4F6">
      <w:pPr>
        <w:pStyle w:val="7"/>
        <w:widowControl/>
        <w:numPr>
          <w:ilvl w:val="1"/>
          <w:numId w:val="5"/>
        </w:numPr>
        <w:adjustRightInd w:val="0"/>
        <w:snapToGrid w:val="0"/>
        <w:spacing w:before="156" w:beforeLines="50" w:beforeAutospacing="0" w:after="156" w:afterLines="50" w:afterAutospacing="0"/>
        <w:jc w:val="center"/>
      </w:pPr>
      <w:bookmarkStart w:id="6" w:name="_Toc205304984"/>
      <w:bookmarkStart w:id="7" w:name="_Toc205305029"/>
      <w:r>
        <w:rPr>
          <w:rFonts w:eastAsia="黑体"/>
          <w:kern w:val="21"/>
          <w:sz w:val="21"/>
          <w:szCs w:val="20"/>
          <w:lang w:bidi="ar"/>
        </w:rPr>
        <w:t>石珊瑚养殖水质指标建议参数、测定方式和调控方式</w:t>
      </w:r>
      <w:bookmarkEnd w:id="6"/>
      <w:bookmarkEnd w:id="7"/>
    </w:p>
    <w:tbl>
      <w:tblPr>
        <w:tblStyle w:val="9"/>
        <w:tblW w:w="4917"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162"/>
        <w:gridCol w:w="1388"/>
        <w:gridCol w:w="2422"/>
        <w:gridCol w:w="3409"/>
      </w:tblGrid>
      <w:tr w14:paraId="1F6C2B5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693" w:type="pct"/>
            <w:tcBorders>
              <w:top w:val="single" w:color="auto" w:sz="8" w:space="0"/>
              <w:left w:val="single" w:color="auto" w:sz="8" w:space="0"/>
              <w:bottom w:val="single" w:color="auto" w:sz="4" w:space="0"/>
              <w:right w:val="single" w:color="auto" w:sz="4" w:space="0"/>
            </w:tcBorders>
            <w:shd w:val="clear" w:color="auto" w:fill="auto"/>
            <w:vAlign w:val="center"/>
          </w:tcPr>
          <w:p w14:paraId="22361EC2">
            <w:pPr>
              <w:widowControl/>
              <w:jc w:val="center"/>
              <w:textAlignment w:val="top"/>
              <w:rPr>
                <w:color w:val="000000"/>
                <w:sz w:val="18"/>
                <w:szCs w:val="18"/>
              </w:rPr>
            </w:pPr>
            <w:r>
              <w:rPr>
                <w:color w:val="000000"/>
                <w:kern w:val="0"/>
                <w:sz w:val="18"/>
                <w:szCs w:val="18"/>
                <w:lang w:bidi="ar"/>
              </w:rPr>
              <w:t>水质指标</w:t>
            </w:r>
          </w:p>
        </w:tc>
        <w:tc>
          <w:tcPr>
            <w:tcW w:w="828" w:type="pct"/>
            <w:tcBorders>
              <w:top w:val="single" w:color="auto" w:sz="8" w:space="0"/>
              <w:left w:val="single" w:color="auto" w:sz="4" w:space="0"/>
              <w:bottom w:val="single" w:color="auto" w:sz="4" w:space="0"/>
              <w:right w:val="single" w:color="auto" w:sz="4" w:space="0"/>
            </w:tcBorders>
            <w:shd w:val="clear" w:color="auto" w:fill="auto"/>
            <w:vAlign w:val="center"/>
          </w:tcPr>
          <w:p w14:paraId="07E65F99">
            <w:pPr>
              <w:widowControl/>
              <w:jc w:val="center"/>
              <w:textAlignment w:val="top"/>
              <w:rPr>
                <w:color w:val="000000"/>
                <w:kern w:val="0"/>
                <w:sz w:val="18"/>
                <w:szCs w:val="18"/>
              </w:rPr>
            </w:pPr>
            <w:r>
              <w:rPr>
                <w:color w:val="000000"/>
                <w:kern w:val="0"/>
                <w:sz w:val="18"/>
                <w:szCs w:val="18"/>
                <w:lang w:bidi="ar"/>
              </w:rPr>
              <w:t>建议参数</w:t>
            </w:r>
          </w:p>
        </w:tc>
        <w:tc>
          <w:tcPr>
            <w:tcW w:w="1445" w:type="pct"/>
            <w:tcBorders>
              <w:top w:val="single" w:color="auto" w:sz="8" w:space="0"/>
              <w:left w:val="single" w:color="auto" w:sz="4" w:space="0"/>
              <w:bottom w:val="single" w:color="auto" w:sz="4" w:space="0"/>
              <w:right w:val="single" w:color="auto" w:sz="4" w:space="0"/>
            </w:tcBorders>
            <w:shd w:val="clear" w:color="auto" w:fill="auto"/>
            <w:vAlign w:val="center"/>
          </w:tcPr>
          <w:p w14:paraId="5F800A8C">
            <w:pPr>
              <w:widowControl/>
              <w:jc w:val="center"/>
              <w:textAlignment w:val="top"/>
              <w:rPr>
                <w:color w:val="000000"/>
                <w:kern w:val="0"/>
                <w:sz w:val="18"/>
                <w:szCs w:val="18"/>
              </w:rPr>
            </w:pPr>
            <w:r>
              <w:rPr>
                <w:color w:val="000000"/>
                <w:kern w:val="0"/>
                <w:sz w:val="18"/>
                <w:szCs w:val="18"/>
                <w:lang w:bidi="ar"/>
              </w:rPr>
              <w:t>测定方式</w:t>
            </w:r>
          </w:p>
        </w:tc>
        <w:tc>
          <w:tcPr>
            <w:tcW w:w="2034" w:type="pct"/>
            <w:tcBorders>
              <w:top w:val="single" w:color="auto" w:sz="8" w:space="0"/>
              <w:left w:val="single" w:color="auto" w:sz="4" w:space="0"/>
              <w:bottom w:val="single" w:color="auto" w:sz="4" w:space="0"/>
              <w:right w:val="single" w:color="auto" w:sz="8" w:space="0"/>
            </w:tcBorders>
            <w:shd w:val="clear" w:color="auto" w:fill="auto"/>
            <w:vAlign w:val="center"/>
          </w:tcPr>
          <w:p w14:paraId="6A716FD1">
            <w:pPr>
              <w:widowControl/>
              <w:jc w:val="center"/>
              <w:textAlignment w:val="top"/>
              <w:rPr>
                <w:color w:val="000000"/>
                <w:kern w:val="0"/>
                <w:sz w:val="18"/>
                <w:szCs w:val="18"/>
              </w:rPr>
            </w:pPr>
            <w:r>
              <w:rPr>
                <w:color w:val="000000"/>
                <w:kern w:val="0"/>
                <w:sz w:val="18"/>
                <w:szCs w:val="18"/>
                <w:lang w:bidi="ar"/>
              </w:rPr>
              <w:t>调控方式</w:t>
            </w:r>
          </w:p>
        </w:tc>
      </w:tr>
      <w:tr w14:paraId="638F1D7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1226A3BF">
            <w:pPr>
              <w:widowControl/>
              <w:jc w:val="center"/>
              <w:textAlignment w:val="top"/>
              <w:rPr>
                <w:color w:val="000000"/>
                <w:sz w:val="18"/>
                <w:szCs w:val="18"/>
              </w:rPr>
            </w:pPr>
            <w:r>
              <w:rPr>
                <w:color w:val="000000"/>
                <w:kern w:val="0"/>
                <w:sz w:val="18"/>
                <w:szCs w:val="18"/>
                <w:lang w:bidi="ar"/>
              </w:rPr>
              <w:t>温度</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2CBC6250">
            <w:pPr>
              <w:widowControl/>
              <w:jc w:val="center"/>
              <w:textAlignment w:val="center"/>
              <w:rPr>
                <w:color w:val="000000"/>
                <w:kern w:val="0"/>
                <w:sz w:val="18"/>
                <w:szCs w:val="18"/>
              </w:rPr>
            </w:pPr>
            <w:r>
              <w:rPr>
                <w:color w:val="000000"/>
                <w:kern w:val="0"/>
                <w:sz w:val="18"/>
                <w:szCs w:val="18"/>
                <w:lang w:bidi="ar"/>
              </w:rPr>
              <w:t>24-26 ℃</w:t>
            </w:r>
          </w:p>
        </w:tc>
        <w:tc>
          <w:tcPr>
            <w:tcW w:w="144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6DCE329">
            <w:pPr>
              <w:widowControl/>
              <w:jc w:val="center"/>
              <w:textAlignment w:val="center"/>
              <w:rPr>
                <w:color w:val="000000"/>
                <w:kern w:val="0"/>
                <w:sz w:val="18"/>
                <w:szCs w:val="18"/>
              </w:rPr>
            </w:pPr>
            <w:r>
              <w:rPr>
                <w:color w:val="000000"/>
                <w:kern w:val="0"/>
                <w:sz w:val="18"/>
                <w:szCs w:val="18"/>
                <w:lang w:bidi="ar"/>
              </w:rPr>
              <w:t>按照NY 5052执行</w:t>
            </w: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2955A134">
            <w:pPr>
              <w:widowControl/>
              <w:adjustRightInd w:val="0"/>
              <w:spacing w:line="240" w:lineRule="atLeast"/>
              <w:jc w:val="left"/>
              <w:rPr>
                <w:color w:val="404040"/>
                <w:kern w:val="0"/>
                <w:sz w:val="18"/>
                <w:szCs w:val="18"/>
              </w:rPr>
            </w:pPr>
            <w:r>
              <w:rPr>
                <w:color w:val="404040"/>
                <w:kern w:val="0"/>
                <w:sz w:val="18"/>
                <w:szCs w:val="18"/>
                <w:lang w:bidi="ar"/>
              </w:rPr>
              <w:t>1. 高于限值：启用冷水机</w:t>
            </w:r>
          </w:p>
          <w:p w14:paraId="6C1E57B5">
            <w:pPr>
              <w:widowControl/>
              <w:adjustRightInd w:val="0"/>
              <w:spacing w:line="240" w:lineRule="atLeast"/>
              <w:jc w:val="left"/>
              <w:rPr>
                <w:color w:val="404040"/>
                <w:sz w:val="18"/>
                <w:szCs w:val="18"/>
              </w:rPr>
            </w:pPr>
            <w:r>
              <w:rPr>
                <w:color w:val="404040"/>
                <w:kern w:val="0"/>
                <w:sz w:val="18"/>
                <w:szCs w:val="18"/>
                <w:lang w:bidi="ar"/>
              </w:rPr>
              <w:t>2. 低于限值：启用加热装置</w:t>
            </w:r>
          </w:p>
        </w:tc>
      </w:tr>
      <w:tr w14:paraId="182CE39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6E067C0D">
            <w:pPr>
              <w:widowControl/>
              <w:jc w:val="center"/>
              <w:textAlignment w:val="center"/>
              <w:rPr>
                <w:color w:val="000000"/>
                <w:sz w:val="18"/>
                <w:szCs w:val="18"/>
              </w:rPr>
            </w:pPr>
            <w:r>
              <w:rPr>
                <w:color w:val="000000"/>
                <w:kern w:val="0"/>
                <w:sz w:val="18"/>
                <w:szCs w:val="18"/>
                <w:lang w:bidi="ar"/>
              </w:rPr>
              <w:t>盐度</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23EE0EF1">
            <w:pPr>
              <w:widowControl/>
              <w:jc w:val="center"/>
              <w:textAlignment w:val="center"/>
              <w:rPr>
                <w:color w:val="000000"/>
                <w:kern w:val="0"/>
                <w:sz w:val="18"/>
                <w:szCs w:val="18"/>
              </w:rPr>
            </w:pPr>
            <w:r>
              <w:rPr>
                <w:color w:val="000000"/>
                <w:kern w:val="0"/>
                <w:sz w:val="18"/>
                <w:szCs w:val="18"/>
                <w:lang w:bidi="ar"/>
              </w:rPr>
              <w:t>34-36 ppt</w:t>
            </w:r>
          </w:p>
        </w:tc>
        <w:tc>
          <w:tcPr>
            <w:tcW w:w="1445"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E2FC1E0">
            <w:pPr>
              <w:rPr>
                <w:sz w:val="20"/>
                <w:szCs w:val="20"/>
              </w:rPr>
            </w:pP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398249DF">
            <w:pPr>
              <w:widowControl/>
              <w:adjustRightInd w:val="0"/>
              <w:spacing w:line="240" w:lineRule="atLeast"/>
              <w:jc w:val="left"/>
              <w:rPr>
                <w:color w:val="404040"/>
                <w:kern w:val="0"/>
                <w:sz w:val="18"/>
                <w:szCs w:val="18"/>
              </w:rPr>
            </w:pPr>
            <w:r>
              <w:rPr>
                <w:color w:val="404040"/>
                <w:kern w:val="0"/>
                <w:sz w:val="18"/>
                <w:szCs w:val="18"/>
                <w:lang w:bidi="ar"/>
              </w:rPr>
              <w:t>1. 偏高：补充淡水</w:t>
            </w:r>
          </w:p>
          <w:p w14:paraId="5E5904F7">
            <w:pPr>
              <w:widowControl/>
              <w:adjustRightInd w:val="0"/>
              <w:spacing w:line="240" w:lineRule="atLeast"/>
              <w:jc w:val="left"/>
              <w:rPr>
                <w:color w:val="404040"/>
                <w:sz w:val="18"/>
                <w:szCs w:val="18"/>
              </w:rPr>
            </w:pPr>
            <w:r>
              <w:rPr>
                <w:color w:val="404040"/>
                <w:kern w:val="0"/>
                <w:sz w:val="18"/>
                <w:szCs w:val="18"/>
                <w:lang w:bidi="ar"/>
              </w:rPr>
              <w:t>2. 偏低：添加海盐</w:t>
            </w:r>
          </w:p>
        </w:tc>
      </w:tr>
      <w:tr w14:paraId="5FD7E9D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29E56F04">
            <w:pPr>
              <w:widowControl/>
              <w:jc w:val="center"/>
              <w:textAlignment w:val="center"/>
              <w:rPr>
                <w:color w:val="000000"/>
                <w:kern w:val="0"/>
                <w:sz w:val="18"/>
                <w:szCs w:val="18"/>
              </w:rPr>
            </w:pPr>
            <w:r>
              <w:rPr>
                <w:color w:val="000000"/>
                <w:kern w:val="0"/>
                <w:sz w:val="18"/>
                <w:szCs w:val="18"/>
                <w:lang w:bidi="ar"/>
              </w:rPr>
              <w:t>溶解氧</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477C5F0F">
            <w:pPr>
              <w:widowControl/>
              <w:jc w:val="center"/>
              <w:textAlignment w:val="center"/>
              <w:rPr>
                <w:color w:val="000000"/>
                <w:kern w:val="0"/>
                <w:sz w:val="18"/>
                <w:szCs w:val="18"/>
              </w:rPr>
            </w:pPr>
            <w:r>
              <w:rPr>
                <w:color w:val="000000"/>
                <w:kern w:val="0"/>
                <w:sz w:val="18"/>
                <w:szCs w:val="18"/>
                <w:lang w:bidi="ar"/>
              </w:rPr>
              <w:t>5-8 mg/L</w:t>
            </w:r>
          </w:p>
        </w:tc>
        <w:tc>
          <w:tcPr>
            <w:tcW w:w="1445"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03FD229">
            <w:pPr>
              <w:rPr>
                <w:sz w:val="20"/>
                <w:szCs w:val="20"/>
              </w:rPr>
            </w:pP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2D7AB2C8">
            <w:pPr>
              <w:widowControl/>
              <w:adjustRightInd w:val="0"/>
              <w:spacing w:line="240" w:lineRule="atLeast"/>
              <w:jc w:val="left"/>
              <w:rPr>
                <w:color w:val="404040"/>
                <w:kern w:val="0"/>
                <w:sz w:val="18"/>
                <w:szCs w:val="18"/>
              </w:rPr>
            </w:pPr>
            <w:r>
              <w:rPr>
                <w:color w:val="404040"/>
                <w:kern w:val="0"/>
                <w:sz w:val="18"/>
                <w:szCs w:val="18"/>
                <w:lang w:bidi="ar"/>
              </w:rPr>
              <w:t>1. 增设造流设备</w:t>
            </w:r>
          </w:p>
          <w:p w14:paraId="54B39B6F">
            <w:pPr>
              <w:widowControl/>
              <w:adjustRightInd w:val="0"/>
              <w:spacing w:line="240" w:lineRule="atLeast"/>
              <w:jc w:val="left"/>
              <w:rPr>
                <w:color w:val="404040"/>
                <w:kern w:val="0"/>
                <w:sz w:val="18"/>
                <w:szCs w:val="18"/>
              </w:rPr>
            </w:pPr>
            <w:r>
              <w:rPr>
                <w:color w:val="404040"/>
                <w:kern w:val="0"/>
                <w:sz w:val="18"/>
                <w:szCs w:val="18"/>
                <w:lang w:bidi="ar"/>
              </w:rPr>
              <w:t>2. 减少生物负载量</w:t>
            </w:r>
          </w:p>
        </w:tc>
      </w:tr>
      <w:tr w14:paraId="388197D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2B5D6368">
            <w:pPr>
              <w:widowControl/>
              <w:jc w:val="center"/>
              <w:textAlignment w:val="center"/>
              <w:rPr>
                <w:color w:val="000000"/>
                <w:kern w:val="0"/>
                <w:sz w:val="18"/>
                <w:szCs w:val="18"/>
              </w:rPr>
            </w:pPr>
            <w:r>
              <w:rPr>
                <w:color w:val="000000"/>
                <w:kern w:val="0"/>
                <w:sz w:val="18"/>
                <w:szCs w:val="18"/>
                <w:lang w:bidi="ar"/>
              </w:rPr>
              <w:t>碱度</w:t>
            </w:r>
            <w:r>
              <w:rPr>
                <w:color w:val="000000"/>
                <w:sz w:val="18"/>
                <w:szCs w:val="18"/>
                <w:lang w:bidi="ar"/>
              </w:rPr>
              <w:t>KH</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130F97D2">
            <w:pPr>
              <w:widowControl/>
              <w:jc w:val="center"/>
              <w:textAlignment w:val="center"/>
              <w:rPr>
                <w:color w:val="000000"/>
                <w:kern w:val="0"/>
                <w:sz w:val="18"/>
                <w:szCs w:val="18"/>
              </w:rPr>
            </w:pPr>
            <w:r>
              <w:rPr>
                <w:color w:val="000000"/>
                <w:kern w:val="0"/>
                <w:sz w:val="18"/>
                <w:szCs w:val="18"/>
                <w:lang w:bidi="ar"/>
              </w:rPr>
              <w:t>7-11 dKH</w:t>
            </w:r>
          </w:p>
        </w:tc>
        <w:tc>
          <w:tcPr>
            <w:tcW w:w="144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416D61D">
            <w:pPr>
              <w:widowControl/>
              <w:jc w:val="center"/>
              <w:textAlignment w:val="center"/>
              <w:rPr>
                <w:color w:val="000000"/>
                <w:kern w:val="0"/>
                <w:sz w:val="18"/>
                <w:szCs w:val="18"/>
              </w:rPr>
            </w:pPr>
            <w:r>
              <w:rPr>
                <w:color w:val="000000"/>
                <w:kern w:val="0"/>
                <w:sz w:val="18"/>
                <w:szCs w:val="18"/>
                <w:lang w:bidi="ar"/>
              </w:rPr>
              <w:t>按照GB 17378.4-2007执行</w:t>
            </w: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38E5905F">
            <w:pPr>
              <w:widowControl/>
              <w:adjustRightInd w:val="0"/>
              <w:spacing w:line="240" w:lineRule="atLeast"/>
              <w:jc w:val="left"/>
              <w:rPr>
                <w:color w:val="404040"/>
                <w:kern w:val="0"/>
                <w:sz w:val="18"/>
                <w:szCs w:val="18"/>
              </w:rPr>
            </w:pPr>
            <w:r>
              <w:rPr>
                <w:color w:val="404040"/>
                <w:kern w:val="0"/>
                <w:sz w:val="18"/>
                <w:szCs w:val="18"/>
                <w:lang w:bidi="ar"/>
              </w:rPr>
              <w:t>1. 添加碳酸氢钠溶液（滴定控制）</w:t>
            </w:r>
          </w:p>
          <w:p w14:paraId="443F5918">
            <w:pPr>
              <w:widowControl/>
              <w:adjustRightInd w:val="0"/>
              <w:spacing w:line="240" w:lineRule="atLeast"/>
              <w:jc w:val="left"/>
              <w:rPr>
                <w:color w:val="404040"/>
                <w:sz w:val="18"/>
                <w:szCs w:val="18"/>
              </w:rPr>
            </w:pPr>
            <w:r>
              <w:rPr>
                <w:color w:val="404040"/>
                <w:kern w:val="0"/>
                <w:sz w:val="18"/>
                <w:szCs w:val="18"/>
                <w:lang w:bidi="ar"/>
              </w:rPr>
              <w:t>2. 调节钙反应器CO₂注入量</w:t>
            </w:r>
          </w:p>
        </w:tc>
      </w:tr>
      <w:tr w14:paraId="60ACF9F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04751D67">
            <w:pPr>
              <w:widowControl/>
              <w:jc w:val="center"/>
              <w:textAlignment w:val="top"/>
              <w:rPr>
                <w:color w:val="000000"/>
                <w:kern w:val="0"/>
                <w:sz w:val="18"/>
                <w:szCs w:val="18"/>
              </w:rPr>
            </w:pPr>
            <w:r>
              <w:rPr>
                <w:color w:val="000000"/>
                <w:kern w:val="0"/>
                <w:sz w:val="18"/>
                <w:szCs w:val="18"/>
                <w:lang w:bidi="ar"/>
              </w:rPr>
              <w:t>酸碱度</w:t>
            </w:r>
            <w:r>
              <w:rPr>
                <w:color w:val="000000"/>
                <w:sz w:val="18"/>
                <w:szCs w:val="18"/>
                <w:lang w:bidi="ar"/>
              </w:rPr>
              <w:t>pH</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49DCC91D">
            <w:pPr>
              <w:widowControl/>
              <w:jc w:val="center"/>
              <w:textAlignment w:val="top"/>
              <w:rPr>
                <w:color w:val="000000"/>
                <w:kern w:val="0"/>
                <w:sz w:val="18"/>
                <w:szCs w:val="18"/>
              </w:rPr>
            </w:pPr>
            <w:r>
              <w:rPr>
                <w:color w:val="000000"/>
                <w:sz w:val="18"/>
                <w:szCs w:val="18"/>
                <w:lang w:bidi="ar"/>
              </w:rPr>
              <w:t>8.1-8.3</w:t>
            </w:r>
          </w:p>
        </w:tc>
        <w:tc>
          <w:tcPr>
            <w:tcW w:w="1445"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9950D82">
            <w:pPr>
              <w:rPr>
                <w:sz w:val="20"/>
                <w:szCs w:val="20"/>
              </w:rPr>
            </w:pP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0EA5046F">
            <w:pPr>
              <w:widowControl/>
              <w:adjustRightInd w:val="0"/>
              <w:spacing w:line="240" w:lineRule="atLeast"/>
              <w:jc w:val="left"/>
              <w:rPr>
                <w:color w:val="404040"/>
                <w:kern w:val="0"/>
                <w:sz w:val="18"/>
                <w:szCs w:val="18"/>
              </w:rPr>
            </w:pPr>
            <w:r>
              <w:rPr>
                <w:color w:val="404040"/>
                <w:kern w:val="0"/>
                <w:sz w:val="18"/>
                <w:szCs w:val="18"/>
                <w:lang w:bidi="ar"/>
              </w:rPr>
              <w:t>1. 添加碳酸氢钠溶液（pH&lt;8.1）</w:t>
            </w:r>
          </w:p>
          <w:p w14:paraId="33102F7B">
            <w:pPr>
              <w:widowControl/>
              <w:adjustRightInd w:val="0"/>
              <w:spacing w:line="240" w:lineRule="atLeast"/>
              <w:jc w:val="left"/>
              <w:rPr>
                <w:color w:val="404040"/>
                <w:sz w:val="18"/>
                <w:szCs w:val="18"/>
              </w:rPr>
            </w:pPr>
            <w:r>
              <w:rPr>
                <w:color w:val="404040"/>
                <w:kern w:val="0"/>
                <w:sz w:val="18"/>
                <w:szCs w:val="18"/>
                <w:lang w:bidi="ar"/>
              </w:rPr>
              <w:t>2. 增强曝气或降低CO₂浓度（pH&gt;8.3）</w:t>
            </w:r>
          </w:p>
        </w:tc>
      </w:tr>
      <w:tr w14:paraId="1D582F0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21BC7D4D">
            <w:pPr>
              <w:widowControl/>
              <w:jc w:val="center"/>
              <w:textAlignment w:val="center"/>
              <w:rPr>
                <w:color w:val="000000"/>
                <w:kern w:val="0"/>
                <w:sz w:val="18"/>
                <w:szCs w:val="18"/>
              </w:rPr>
            </w:pPr>
            <w:r>
              <w:rPr>
                <w:color w:val="000000"/>
                <w:kern w:val="0"/>
                <w:sz w:val="18"/>
                <w:szCs w:val="18"/>
                <w:lang w:bidi="ar"/>
              </w:rPr>
              <w:t>钙</w:t>
            </w:r>
            <w:r>
              <w:rPr>
                <w:color w:val="000000"/>
                <w:sz w:val="18"/>
                <w:szCs w:val="18"/>
                <w:lang w:bidi="ar"/>
              </w:rPr>
              <w:t>Ca</w:t>
            </w:r>
            <w:r>
              <w:rPr>
                <w:color w:val="000000"/>
                <w:sz w:val="18"/>
                <w:szCs w:val="18"/>
                <w:vertAlign w:val="superscript"/>
                <w:lang w:bidi="ar"/>
              </w:rPr>
              <w:t>2+</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5DB5AE58">
            <w:pPr>
              <w:widowControl/>
              <w:jc w:val="center"/>
              <w:textAlignment w:val="center"/>
              <w:rPr>
                <w:color w:val="000000"/>
                <w:kern w:val="0"/>
                <w:sz w:val="18"/>
                <w:szCs w:val="18"/>
              </w:rPr>
            </w:pPr>
            <w:r>
              <w:rPr>
                <w:color w:val="000000"/>
                <w:kern w:val="0"/>
                <w:sz w:val="18"/>
                <w:szCs w:val="18"/>
                <w:lang w:bidi="ar"/>
              </w:rPr>
              <w:t>380-450 mg/L</w:t>
            </w:r>
          </w:p>
        </w:tc>
        <w:tc>
          <w:tcPr>
            <w:tcW w:w="1445"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00A2530">
            <w:pPr>
              <w:widowControl/>
              <w:jc w:val="center"/>
              <w:textAlignment w:val="center"/>
              <w:rPr>
                <w:color w:val="000000"/>
                <w:kern w:val="0"/>
                <w:sz w:val="18"/>
                <w:szCs w:val="18"/>
              </w:rPr>
            </w:pPr>
            <w:r>
              <w:rPr>
                <w:color w:val="000000"/>
                <w:kern w:val="0"/>
                <w:sz w:val="18"/>
                <w:szCs w:val="18"/>
                <w:lang w:bidi="ar"/>
              </w:rPr>
              <w:t>EDTA滴定法</w:t>
            </w: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285D34F7">
            <w:pPr>
              <w:widowControl/>
              <w:adjustRightInd w:val="0"/>
              <w:spacing w:line="240" w:lineRule="atLeast"/>
              <w:jc w:val="left"/>
              <w:rPr>
                <w:color w:val="404040"/>
                <w:kern w:val="0"/>
                <w:sz w:val="18"/>
                <w:szCs w:val="18"/>
              </w:rPr>
            </w:pPr>
            <w:r>
              <w:rPr>
                <w:color w:val="404040"/>
                <w:kern w:val="0"/>
                <w:sz w:val="18"/>
                <w:szCs w:val="18"/>
                <w:lang w:bidi="ar"/>
              </w:rPr>
              <w:t>1. 添加氯化钙溶液（滴定控制）</w:t>
            </w:r>
          </w:p>
          <w:p w14:paraId="73889232">
            <w:pPr>
              <w:widowControl/>
              <w:adjustRightInd w:val="0"/>
              <w:spacing w:line="240" w:lineRule="atLeast"/>
              <w:jc w:val="left"/>
              <w:rPr>
                <w:color w:val="404040"/>
                <w:sz w:val="18"/>
                <w:szCs w:val="18"/>
              </w:rPr>
            </w:pPr>
            <w:r>
              <w:rPr>
                <w:color w:val="404040"/>
                <w:kern w:val="0"/>
                <w:sz w:val="18"/>
                <w:szCs w:val="18"/>
                <w:lang w:bidi="ar"/>
              </w:rPr>
              <w:t>2. 调节钙反应器出水流速</w:t>
            </w:r>
          </w:p>
        </w:tc>
      </w:tr>
      <w:tr w14:paraId="03C2F4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10097583">
            <w:pPr>
              <w:widowControl/>
              <w:jc w:val="center"/>
              <w:textAlignment w:val="center"/>
              <w:rPr>
                <w:color w:val="000000"/>
                <w:kern w:val="0"/>
                <w:sz w:val="18"/>
                <w:szCs w:val="18"/>
              </w:rPr>
            </w:pPr>
            <w:r>
              <w:rPr>
                <w:color w:val="000000"/>
                <w:kern w:val="0"/>
                <w:sz w:val="18"/>
                <w:szCs w:val="18"/>
                <w:lang w:bidi="ar"/>
              </w:rPr>
              <w:t>镁</w:t>
            </w:r>
            <w:r>
              <w:rPr>
                <w:color w:val="000000"/>
                <w:sz w:val="18"/>
                <w:szCs w:val="18"/>
                <w:lang w:bidi="ar"/>
              </w:rPr>
              <w:t>Mg</w:t>
            </w:r>
            <w:r>
              <w:rPr>
                <w:color w:val="000000"/>
                <w:sz w:val="18"/>
                <w:szCs w:val="18"/>
                <w:vertAlign w:val="superscript"/>
                <w:lang w:bidi="ar"/>
              </w:rPr>
              <w:t>2+</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1074CFCB">
            <w:pPr>
              <w:widowControl/>
              <w:jc w:val="center"/>
              <w:textAlignment w:val="center"/>
              <w:rPr>
                <w:color w:val="000000"/>
                <w:kern w:val="0"/>
                <w:sz w:val="18"/>
                <w:szCs w:val="18"/>
              </w:rPr>
            </w:pPr>
            <w:r>
              <w:rPr>
                <w:color w:val="000000"/>
                <w:kern w:val="0"/>
                <w:sz w:val="18"/>
                <w:szCs w:val="18"/>
                <w:lang w:bidi="ar"/>
              </w:rPr>
              <w:t>1285-1350 mg/L</w:t>
            </w:r>
          </w:p>
        </w:tc>
        <w:tc>
          <w:tcPr>
            <w:tcW w:w="1445"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6F6BC40">
            <w:pPr>
              <w:rPr>
                <w:sz w:val="20"/>
                <w:szCs w:val="20"/>
              </w:rPr>
            </w:pP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020219A6">
            <w:pPr>
              <w:widowControl/>
              <w:adjustRightInd w:val="0"/>
              <w:spacing w:line="240" w:lineRule="atLeast"/>
              <w:jc w:val="left"/>
              <w:rPr>
                <w:color w:val="404040"/>
                <w:kern w:val="0"/>
                <w:sz w:val="18"/>
                <w:szCs w:val="18"/>
              </w:rPr>
            </w:pPr>
            <w:r>
              <w:rPr>
                <w:color w:val="404040"/>
                <w:kern w:val="0"/>
                <w:sz w:val="18"/>
                <w:szCs w:val="18"/>
                <w:lang w:bidi="ar"/>
              </w:rPr>
              <w:t>1. 添加六水合氯化镁溶液（滴定控制）</w:t>
            </w:r>
          </w:p>
          <w:p w14:paraId="265C9CA4">
            <w:pPr>
              <w:widowControl/>
              <w:adjustRightInd w:val="0"/>
              <w:spacing w:line="240" w:lineRule="atLeast"/>
              <w:jc w:val="left"/>
              <w:rPr>
                <w:color w:val="404040"/>
                <w:sz w:val="18"/>
                <w:szCs w:val="18"/>
              </w:rPr>
            </w:pPr>
            <w:r>
              <w:rPr>
                <w:color w:val="404040"/>
                <w:kern w:val="0"/>
                <w:sz w:val="18"/>
                <w:szCs w:val="18"/>
                <w:lang w:bidi="ar"/>
              </w:rPr>
              <w:t>2. 更换含镁盐度调整剂</w:t>
            </w:r>
          </w:p>
        </w:tc>
      </w:tr>
      <w:tr w14:paraId="66EDEC1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308BFFD8">
            <w:pPr>
              <w:widowControl/>
              <w:jc w:val="center"/>
              <w:textAlignment w:val="center"/>
              <w:rPr>
                <w:color w:val="000000"/>
                <w:sz w:val="18"/>
                <w:szCs w:val="18"/>
              </w:rPr>
            </w:pPr>
            <w:r>
              <w:rPr>
                <w:color w:val="000000"/>
                <w:kern w:val="0"/>
                <w:sz w:val="18"/>
                <w:szCs w:val="18"/>
                <w:lang w:bidi="ar"/>
              </w:rPr>
              <w:t>铵</w:t>
            </w:r>
            <w:r>
              <w:rPr>
                <w:color w:val="000000"/>
                <w:sz w:val="18"/>
                <w:szCs w:val="18"/>
                <w:lang w:bidi="ar"/>
              </w:rPr>
              <w:t>NH</w:t>
            </w:r>
            <w:r>
              <w:rPr>
                <w:color w:val="000000"/>
                <w:sz w:val="18"/>
                <w:szCs w:val="18"/>
                <w:vertAlign w:val="subscript"/>
                <w:lang w:bidi="ar"/>
              </w:rPr>
              <w:t>4</w:t>
            </w:r>
            <w:r>
              <w:rPr>
                <w:color w:val="000000"/>
                <w:sz w:val="18"/>
                <w:szCs w:val="18"/>
                <w:vertAlign w:val="superscript"/>
                <w:lang w:bidi="ar"/>
              </w:rPr>
              <w:t>+</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36B63D3B">
            <w:pPr>
              <w:widowControl/>
              <w:jc w:val="center"/>
              <w:textAlignment w:val="center"/>
              <w:rPr>
                <w:color w:val="000000"/>
                <w:kern w:val="0"/>
                <w:sz w:val="18"/>
                <w:szCs w:val="18"/>
              </w:rPr>
            </w:pPr>
            <w:r>
              <w:rPr>
                <w:color w:val="000000"/>
                <w:kern w:val="0"/>
                <w:sz w:val="18"/>
                <w:szCs w:val="18"/>
                <w:lang w:bidi="ar"/>
              </w:rPr>
              <w:t>&lt;</w:t>
            </w:r>
            <w:r>
              <w:rPr>
                <w:rFonts w:eastAsia="MS Gothic"/>
                <w:color w:val="000000"/>
                <w:kern w:val="0"/>
                <w:sz w:val="18"/>
                <w:szCs w:val="18"/>
                <w:lang w:bidi="ar"/>
              </w:rPr>
              <w:t> </w:t>
            </w:r>
            <w:r>
              <w:rPr>
                <w:color w:val="000000"/>
                <w:kern w:val="0"/>
                <w:sz w:val="18"/>
                <w:szCs w:val="18"/>
                <w:lang w:bidi="ar"/>
              </w:rPr>
              <w:t xml:space="preserve">0.1 ppm </w:t>
            </w:r>
          </w:p>
        </w:tc>
        <w:tc>
          <w:tcPr>
            <w:tcW w:w="1445" w:type="pct"/>
            <w:vMerge w:val="restart"/>
            <w:tcBorders>
              <w:top w:val="single" w:color="auto" w:sz="4" w:space="0"/>
              <w:left w:val="single" w:color="auto" w:sz="4" w:space="0"/>
              <w:bottom w:val="single" w:color="auto" w:sz="8" w:space="0"/>
              <w:right w:val="single" w:color="auto" w:sz="4" w:space="0"/>
            </w:tcBorders>
            <w:shd w:val="clear" w:color="auto" w:fill="auto"/>
            <w:vAlign w:val="center"/>
          </w:tcPr>
          <w:p w14:paraId="31F26F8F">
            <w:pPr>
              <w:widowControl/>
              <w:jc w:val="center"/>
              <w:textAlignment w:val="center"/>
              <w:rPr>
                <w:color w:val="000000"/>
                <w:kern w:val="0"/>
                <w:sz w:val="18"/>
                <w:szCs w:val="18"/>
              </w:rPr>
            </w:pPr>
            <w:r>
              <w:rPr>
                <w:color w:val="000000"/>
                <w:kern w:val="0"/>
                <w:sz w:val="18"/>
                <w:szCs w:val="18"/>
                <w:lang w:bidi="ar"/>
              </w:rPr>
              <w:t>按照GB 17378.4-2007执行</w:t>
            </w: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6D5EF48A">
            <w:pPr>
              <w:widowControl/>
              <w:adjustRightInd w:val="0"/>
              <w:spacing w:line="240" w:lineRule="atLeast"/>
              <w:jc w:val="left"/>
              <w:rPr>
                <w:color w:val="404040"/>
                <w:kern w:val="0"/>
                <w:sz w:val="18"/>
                <w:szCs w:val="18"/>
              </w:rPr>
            </w:pPr>
            <w:r>
              <w:rPr>
                <w:color w:val="404040"/>
                <w:kern w:val="0"/>
                <w:sz w:val="18"/>
                <w:szCs w:val="18"/>
                <w:lang w:bidi="ar"/>
              </w:rPr>
              <w:t>1. 更换20%-30%水体</w:t>
            </w:r>
          </w:p>
          <w:p w14:paraId="00390F7A">
            <w:pPr>
              <w:widowControl/>
              <w:adjustRightInd w:val="0"/>
              <w:spacing w:line="240" w:lineRule="atLeast"/>
              <w:jc w:val="left"/>
              <w:rPr>
                <w:color w:val="404040"/>
                <w:kern w:val="0"/>
                <w:sz w:val="18"/>
                <w:szCs w:val="18"/>
              </w:rPr>
            </w:pPr>
            <w:r>
              <w:rPr>
                <w:color w:val="404040"/>
                <w:kern w:val="0"/>
                <w:sz w:val="18"/>
                <w:szCs w:val="18"/>
                <w:lang w:bidi="ar"/>
              </w:rPr>
              <w:t>2. 减少投喂量30%-50%</w:t>
            </w:r>
          </w:p>
        </w:tc>
      </w:tr>
      <w:tr w14:paraId="11A8A62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0BD78F67">
            <w:pPr>
              <w:widowControl/>
              <w:jc w:val="center"/>
              <w:textAlignment w:val="center"/>
              <w:rPr>
                <w:color w:val="000000"/>
                <w:sz w:val="18"/>
                <w:szCs w:val="18"/>
              </w:rPr>
            </w:pPr>
            <w:r>
              <w:rPr>
                <w:color w:val="000000"/>
                <w:kern w:val="0"/>
                <w:sz w:val="18"/>
                <w:szCs w:val="18"/>
                <w:lang w:bidi="ar"/>
              </w:rPr>
              <w:t>亚硝酸盐</w:t>
            </w:r>
            <w:r>
              <w:rPr>
                <w:color w:val="000000"/>
                <w:sz w:val="18"/>
                <w:szCs w:val="18"/>
                <w:lang w:bidi="ar"/>
              </w:rPr>
              <w:t>N0</w:t>
            </w:r>
            <w:r>
              <w:rPr>
                <w:color w:val="000000"/>
                <w:sz w:val="18"/>
                <w:szCs w:val="18"/>
                <w:vertAlign w:val="subscript"/>
                <w:lang w:bidi="ar"/>
              </w:rPr>
              <w:t>2</w:t>
            </w:r>
            <w:r>
              <w:rPr>
                <w:color w:val="000000"/>
                <w:sz w:val="18"/>
                <w:szCs w:val="18"/>
                <w:vertAlign w:val="superscript"/>
                <w:lang w:bidi="ar"/>
              </w:rPr>
              <w:t>-</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1A40604C">
            <w:pPr>
              <w:widowControl/>
              <w:jc w:val="center"/>
              <w:textAlignment w:val="center"/>
              <w:rPr>
                <w:color w:val="000000"/>
                <w:kern w:val="0"/>
                <w:sz w:val="18"/>
                <w:szCs w:val="18"/>
              </w:rPr>
            </w:pPr>
            <w:r>
              <w:rPr>
                <w:color w:val="000000"/>
                <w:kern w:val="0"/>
                <w:sz w:val="18"/>
                <w:szCs w:val="18"/>
                <w:lang w:bidi="ar"/>
              </w:rPr>
              <w:t>&lt;</w:t>
            </w:r>
            <w:r>
              <w:rPr>
                <w:rFonts w:eastAsia="MS Gothic"/>
                <w:color w:val="000000"/>
                <w:kern w:val="0"/>
                <w:sz w:val="18"/>
                <w:szCs w:val="18"/>
                <w:lang w:bidi="ar"/>
              </w:rPr>
              <w:t> </w:t>
            </w:r>
            <w:r>
              <w:rPr>
                <w:color w:val="000000"/>
                <w:kern w:val="0"/>
                <w:sz w:val="18"/>
                <w:szCs w:val="18"/>
                <w:lang w:bidi="ar"/>
              </w:rPr>
              <w:t xml:space="preserve">0.05 ppm </w:t>
            </w:r>
          </w:p>
        </w:tc>
        <w:tc>
          <w:tcPr>
            <w:tcW w:w="1445" w:type="pct"/>
            <w:vMerge w:val="continue"/>
            <w:tcBorders>
              <w:top w:val="single" w:color="auto" w:sz="4" w:space="0"/>
              <w:left w:val="single" w:color="auto" w:sz="4" w:space="0"/>
              <w:bottom w:val="single" w:color="auto" w:sz="8" w:space="0"/>
              <w:right w:val="single" w:color="auto" w:sz="4" w:space="0"/>
            </w:tcBorders>
            <w:shd w:val="clear" w:color="auto" w:fill="auto"/>
            <w:vAlign w:val="center"/>
          </w:tcPr>
          <w:p w14:paraId="5A7D0DF1">
            <w:pPr>
              <w:rPr>
                <w:sz w:val="20"/>
                <w:szCs w:val="20"/>
              </w:rPr>
            </w:pP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28372039">
            <w:pPr>
              <w:widowControl/>
              <w:adjustRightInd w:val="0"/>
              <w:spacing w:line="240" w:lineRule="atLeast"/>
              <w:jc w:val="left"/>
              <w:rPr>
                <w:color w:val="404040"/>
                <w:kern w:val="0"/>
                <w:sz w:val="18"/>
                <w:szCs w:val="18"/>
              </w:rPr>
            </w:pPr>
            <w:r>
              <w:rPr>
                <w:color w:val="404040"/>
                <w:kern w:val="0"/>
                <w:sz w:val="18"/>
                <w:szCs w:val="18"/>
                <w:lang w:bidi="ar"/>
              </w:rPr>
              <w:t>1. 增强生物过滤系统</w:t>
            </w:r>
          </w:p>
          <w:p w14:paraId="46BF9F66">
            <w:pPr>
              <w:widowControl/>
              <w:adjustRightInd w:val="0"/>
              <w:spacing w:line="240" w:lineRule="atLeast"/>
              <w:jc w:val="left"/>
              <w:rPr>
                <w:color w:val="404040"/>
                <w:kern w:val="0"/>
                <w:sz w:val="18"/>
                <w:szCs w:val="18"/>
              </w:rPr>
            </w:pPr>
            <w:r>
              <w:rPr>
                <w:color w:val="404040"/>
                <w:kern w:val="0"/>
                <w:sz w:val="18"/>
                <w:szCs w:val="18"/>
                <w:lang w:bidi="ar"/>
              </w:rPr>
              <w:t>2. 暂停投喂直至指标正常</w:t>
            </w:r>
          </w:p>
        </w:tc>
      </w:tr>
      <w:tr w14:paraId="1EBA27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4" w:space="0"/>
              <w:right w:val="single" w:color="auto" w:sz="4" w:space="0"/>
            </w:tcBorders>
            <w:shd w:val="clear" w:color="auto" w:fill="auto"/>
            <w:vAlign w:val="center"/>
          </w:tcPr>
          <w:p w14:paraId="5AEC568D">
            <w:pPr>
              <w:widowControl/>
              <w:jc w:val="center"/>
              <w:textAlignment w:val="center"/>
              <w:rPr>
                <w:color w:val="000000"/>
                <w:sz w:val="18"/>
                <w:szCs w:val="18"/>
              </w:rPr>
            </w:pPr>
            <w:r>
              <w:rPr>
                <w:color w:val="000000"/>
                <w:kern w:val="0"/>
                <w:sz w:val="18"/>
                <w:szCs w:val="18"/>
                <w:lang w:bidi="ar"/>
              </w:rPr>
              <w:t>硝酸盐</w:t>
            </w:r>
            <w:r>
              <w:rPr>
                <w:color w:val="000000"/>
                <w:sz w:val="18"/>
                <w:szCs w:val="18"/>
                <w:lang w:bidi="ar"/>
              </w:rPr>
              <w:t>N0</w:t>
            </w:r>
            <w:r>
              <w:rPr>
                <w:color w:val="000000"/>
                <w:sz w:val="18"/>
                <w:szCs w:val="18"/>
                <w:vertAlign w:val="subscript"/>
                <w:lang w:bidi="ar"/>
              </w:rPr>
              <w:t>3</w:t>
            </w:r>
            <w:r>
              <w:rPr>
                <w:color w:val="000000"/>
                <w:sz w:val="18"/>
                <w:szCs w:val="18"/>
                <w:vertAlign w:val="superscript"/>
                <w:lang w:bidi="ar"/>
              </w:rPr>
              <w:t>-</w:t>
            </w:r>
          </w:p>
        </w:tc>
        <w:tc>
          <w:tcPr>
            <w:tcW w:w="828" w:type="pct"/>
            <w:tcBorders>
              <w:top w:val="single" w:color="auto" w:sz="4" w:space="0"/>
              <w:left w:val="single" w:color="auto" w:sz="4" w:space="0"/>
              <w:bottom w:val="single" w:color="auto" w:sz="4" w:space="0"/>
              <w:right w:val="single" w:color="auto" w:sz="4" w:space="0"/>
            </w:tcBorders>
            <w:shd w:val="clear" w:color="auto" w:fill="auto"/>
            <w:vAlign w:val="center"/>
          </w:tcPr>
          <w:p w14:paraId="606A2928">
            <w:pPr>
              <w:widowControl/>
              <w:jc w:val="center"/>
              <w:textAlignment w:val="center"/>
              <w:rPr>
                <w:color w:val="000000"/>
                <w:kern w:val="0"/>
                <w:sz w:val="18"/>
                <w:szCs w:val="18"/>
              </w:rPr>
            </w:pPr>
            <w:r>
              <w:rPr>
                <w:color w:val="000000"/>
                <w:kern w:val="0"/>
                <w:sz w:val="18"/>
                <w:szCs w:val="18"/>
                <w:lang w:bidi="ar"/>
              </w:rPr>
              <w:t>1-3 ppm</w:t>
            </w:r>
          </w:p>
        </w:tc>
        <w:tc>
          <w:tcPr>
            <w:tcW w:w="1445" w:type="pct"/>
            <w:vMerge w:val="continue"/>
            <w:tcBorders>
              <w:top w:val="single" w:color="auto" w:sz="4" w:space="0"/>
              <w:left w:val="single" w:color="auto" w:sz="4" w:space="0"/>
              <w:bottom w:val="single" w:color="auto" w:sz="8" w:space="0"/>
              <w:right w:val="single" w:color="auto" w:sz="4" w:space="0"/>
            </w:tcBorders>
            <w:shd w:val="clear" w:color="auto" w:fill="auto"/>
            <w:vAlign w:val="center"/>
          </w:tcPr>
          <w:p w14:paraId="03F7BF2E">
            <w:pPr>
              <w:rPr>
                <w:sz w:val="20"/>
                <w:szCs w:val="20"/>
              </w:rPr>
            </w:pPr>
          </w:p>
        </w:tc>
        <w:tc>
          <w:tcPr>
            <w:tcW w:w="2034" w:type="pct"/>
            <w:tcBorders>
              <w:top w:val="single" w:color="auto" w:sz="4" w:space="0"/>
              <w:left w:val="single" w:color="auto" w:sz="4" w:space="0"/>
              <w:bottom w:val="single" w:color="auto" w:sz="4" w:space="0"/>
              <w:right w:val="single" w:color="auto" w:sz="8" w:space="0"/>
            </w:tcBorders>
            <w:shd w:val="clear" w:color="auto" w:fill="auto"/>
            <w:vAlign w:val="center"/>
          </w:tcPr>
          <w:p w14:paraId="5D78A15E">
            <w:pPr>
              <w:widowControl/>
              <w:adjustRightInd w:val="0"/>
              <w:spacing w:line="240" w:lineRule="atLeast"/>
              <w:jc w:val="left"/>
              <w:rPr>
                <w:color w:val="404040"/>
                <w:kern w:val="0"/>
                <w:sz w:val="18"/>
                <w:szCs w:val="18"/>
              </w:rPr>
            </w:pPr>
            <w:r>
              <w:rPr>
                <w:color w:val="404040"/>
                <w:kern w:val="0"/>
                <w:sz w:val="18"/>
                <w:szCs w:val="18"/>
                <w:lang w:bidi="ar"/>
              </w:rPr>
              <w:t>1. 增设藻类过滤装置</w:t>
            </w:r>
          </w:p>
          <w:p w14:paraId="3E99DEBF">
            <w:pPr>
              <w:widowControl/>
              <w:adjustRightInd w:val="0"/>
              <w:spacing w:line="240" w:lineRule="atLeast"/>
              <w:jc w:val="left"/>
              <w:rPr>
                <w:color w:val="404040"/>
                <w:kern w:val="0"/>
                <w:sz w:val="18"/>
                <w:szCs w:val="18"/>
              </w:rPr>
            </w:pPr>
            <w:r>
              <w:rPr>
                <w:color w:val="404040"/>
                <w:kern w:val="0"/>
                <w:sz w:val="18"/>
                <w:szCs w:val="18"/>
                <w:lang w:bidi="ar"/>
              </w:rPr>
              <w:t>2. 每周更换10%-15%水体</w:t>
            </w:r>
          </w:p>
        </w:tc>
      </w:tr>
      <w:tr w14:paraId="76F186F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93" w:type="pct"/>
            <w:tcBorders>
              <w:top w:val="single" w:color="auto" w:sz="4" w:space="0"/>
              <w:left w:val="single" w:color="auto" w:sz="8" w:space="0"/>
              <w:bottom w:val="single" w:color="auto" w:sz="8" w:space="0"/>
              <w:right w:val="single" w:color="auto" w:sz="4" w:space="0"/>
            </w:tcBorders>
            <w:shd w:val="clear" w:color="auto" w:fill="auto"/>
            <w:vAlign w:val="center"/>
          </w:tcPr>
          <w:p w14:paraId="51313D9C">
            <w:pPr>
              <w:widowControl/>
              <w:jc w:val="center"/>
              <w:textAlignment w:val="center"/>
              <w:rPr>
                <w:color w:val="000000"/>
                <w:sz w:val="18"/>
                <w:szCs w:val="18"/>
              </w:rPr>
            </w:pPr>
            <w:r>
              <w:rPr>
                <w:color w:val="000000"/>
                <w:kern w:val="0"/>
                <w:sz w:val="18"/>
                <w:szCs w:val="18"/>
                <w:lang w:bidi="ar"/>
              </w:rPr>
              <w:t>磷酸盐</w:t>
            </w:r>
            <w:r>
              <w:rPr>
                <w:color w:val="000000"/>
                <w:sz w:val="18"/>
                <w:szCs w:val="18"/>
                <w:lang w:bidi="ar"/>
              </w:rPr>
              <w:t>P0</w:t>
            </w:r>
            <w:r>
              <w:rPr>
                <w:color w:val="000000"/>
                <w:sz w:val="18"/>
                <w:szCs w:val="18"/>
                <w:vertAlign w:val="subscript"/>
                <w:lang w:bidi="ar"/>
              </w:rPr>
              <w:t>4</w:t>
            </w:r>
            <w:r>
              <w:rPr>
                <w:color w:val="000000"/>
                <w:sz w:val="18"/>
                <w:szCs w:val="18"/>
                <w:vertAlign w:val="superscript"/>
                <w:lang w:bidi="ar"/>
              </w:rPr>
              <w:t>3-</w:t>
            </w:r>
          </w:p>
        </w:tc>
        <w:tc>
          <w:tcPr>
            <w:tcW w:w="828" w:type="pct"/>
            <w:tcBorders>
              <w:top w:val="single" w:color="auto" w:sz="4" w:space="0"/>
              <w:left w:val="single" w:color="auto" w:sz="4" w:space="0"/>
              <w:bottom w:val="single" w:color="auto" w:sz="8" w:space="0"/>
              <w:right w:val="single" w:color="auto" w:sz="4" w:space="0"/>
            </w:tcBorders>
            <w:shd w:val="clear" w:color="auto" w:fill="auto"/>
            <w:vAlign w:val="center"/>
          </w:tcPr>
          <w:p w14:paraId="2A5D8213">
            <w:pPr>
              <w:widowControl/>
              <w:jc w:val="center"/>
              <w:textAlignment w:val="center"/>
              <w:rPr>
                <w:color w:val="000000"/>
                <w:kern w:val="0"/>
                <w:sz w:val="18"/>
                <w:szCs w:val="18"/>
              </w:rPr>
            </w:pPr>
            <w:r>
              <w:rPr>
                <w:color w:val="000000"/>
                <w:kern w:val="0"/>
                <w:sz w:val="18"/>
                <w:szCs w:val="18"/>
                <w:lang w:bidi="ar"/>
              </w:rPr>
              <w:t>&lt;</w:t>
            </w:r>
            <w:r>
              <w:rPr>
                <w:rFonts w:eastAsia="MS Gothic"/>
                <w:color w:val="000000"/>
                <w:kern w:val="0"/>
                <w:sz w:val="18"/>
                <w:szCs w:val="18"/>
                <w:lang w:bidi="ar"/>
              </w:rPr>
              <w:t> </w:t>
            </w:r>
            <w:r>
              <w:rPr>
                <w:color w:val="000000"/>
                <w:kern w:val="0"/>
                <w:sz w:val="18"/>
                <w:szCs w:val="18"/>
                <w:lang w:bidi="ar"/>
              </w:rPr>
              <w:t>0.03 ppm</w:t>
            </w:r>
          </w:p>
        </w:tc>
        <w:tc>
          <w:tcPr>
            <w:tcW w:w="1445" w:type="pct"/>
            <w:vMerge w:val="continue"/>
            <w:tcBorders>
              <w:top w:val="single" w:color="auto" w:sz="4" w:space="0"/>
              <w:left w:val="single" w:color="auto" w:sz="4" w:space="0"/>
              <w:bottom w:val="single" w:color="auto" w:sz="8" w:space="0"/>
              <w:right w:val="single" w:color="auto" w:sz="4" w:space="0"/>
            </w:tcBorders>
            <w:shd w:val="clear" w:color="auto" w:fill="auto"/>
            <w:vAlign w:val="center"/>
          </w:tcPr>
          <w:p w14:paraId="14DFA2A5">
            <w:pPr>
              <w:rPr>
                <w:sz w:val="20"/>
                <w:szCs w:val="20"/>
              </w:rPr>
            </w:pPr>
          </w:p>
        </w:tc>
        <w:tc>
          <w:tcPr>
            <w:tcW w:w="2034" w:type="pct"/>
            <w:tcBorders>
              <w:top w:val="single" w:color="auto" w:sz="4" w:space="0"/>
              <w:left w:val="single" w:color="auto" w:sz="4" w:space="0"/>
              <w:bottom w:val="single" w:color="auto" w:sz="8" w:space="0"/>
              <w:right w:val="single" w:color="auto" w:sz="8" w:space="0"/>
            </w:tcBorders>
            <w:shd w:val="clear" w:color="auto" w:fill="auto"/>
            <w:vAlign w:val="center"/>
          </w:tcPr>
          <w:p w14:paraId="719262D6">
            <w:pPr>
              <w:widowControl/>
              <w:adjustRightInd w:val="0"/>
              <w:spacing w:line="240" w:lineRule="atLeast"/>
              <w:jc w:val="left"/>
              <w:rPr>
                <w:color w:val="404040"/>
                <w:kern w:val="0"/>
                <w:sz w:val="18"/>
                <w:szCs w:val="18"/>
              </w:rPr>
            </w:pPr>
            <w:r>
              <w:rPr>
                <w:color w:val="404040"/>
                <w:kern w:val="0"/>
                <w:sz w:val="18"/>
                <w:szCs w:val="18"/>
                <w:lang w:bidi="ar"/>
              </w:rPr>
              <w:t>1. 增加蛋白质分离器工作时间</w:t>
            </w:r>
          </w:p>
          <w:p w14:paraId="664815CA">
            <w:pPr>
              <w:widowControl/>
              <w:adjustRightInd w:val="0"/>
              <w:spacing w:line="240" w:lineRule="atLeast"/>
              <w:jc w:val="left"/>
              <w:rPr>
                <w:color w:val="404040"/>
                <w:kern w:val="0"/>
                <w:sz w:val="18"/>
                <w:szCs w:val="18"/>
              </w:rPr>
            </w:pPr>
            <w:r>
              <w:rPr>
                <w:color w:val="404040"/>
                <w:kern w:val="0"/>
                <w:sz w:val="18"/>
                <w:szCs w:val="18"/>
                <w:lang w:bidi="ar"/>
              </w:rPr>
              <w:t>2. 投喂低磷饲料</w:t>
            </w:r>
          </w:p>
        </w:tc>
      </w:tr>
    </w:tbl>
    <w:p w14:paraId="748AF3CE">
      <w:pPr>
        <w:tabs>
          <w:tab w:val="center" w:pos="4201"/>
          <w:tab w:val="right" w:leader="dot" w:pos="9298"/>
        </w:tabs>
        <w:ind w:firstLine="562" w:firstLineChars="200"/>
        <w:rPr>
          <w:rFonts w:eastAsia="仿宋"/>
          <w:sz w:val="28"/>
          <w:szCs w:val="28"/>
        </w:rPr>
      </w:pPr>
      <w:r>
        <w:rPr>
          <w:rFonts w:eastAsia="仿宋"/>
          <w:b/>
          <w:bCs/>
          <w:sz w:val="28"/>
          <w:szCs w:val="28"/>
        </w:rPr>
        <w:t>温度：</w:t>
      </w:r>
      <w:r>
        <w:rPr>
          <w:rFonts w:eastAsia="仿宋"/>
          <w:sz w:val="28"/>
          <w:szCs w:val="28"/>
        </w:rPr>
        <w:t>温度从很多方面影响着生物的活动。最主要的影响就是生物的新陈代谢作用会随着温度的升高而加快，高温导致的这种新陈代谢加速一方面会加速生物生长，另一方面也会加速废物排泄的速度。自然海域石珊瑚主要分布在28～30℃海域，而对于人工海水养殖来说，最理想的温度应比上述温度稍微低一些。考虑到外界各种因素的影响宜将石珊瑚养殖系统温度设定在24～26℃。</w:t>
      </w:r>
    </w:p>
    <w:p w14:paraId="0487D3C2">
      <w:pPr>
        <w:tabs>
          <w:tab w:val="center" w:pos="4201"/>
          <w:tab w:val="right" w:leader="dot" w:pos="9298"/>
        </w:tabs>
        <w:ind w:firstLine="562" w:firstLineChars="200"/>
        <w:rPr>
          <w:rFonts w:eastAsia="仿宋"/>
          <w:sz w:val="28"/>
          <w:szCs w:val="28"/>
        </w:rPr>
      </w:pPr>
      <w:r>
        <w:rPr>
          <w:rFonts w:eastAsia="仿宋"/>
          <w:b/>
          <w:bCs/>
          <w:sz w:val="28"/>
          <w:szCs w:val="28"/>
        </w:rPr>
        <w:t>盐度：</w:t>
      </w:r>
      <w:r>
        <w:rPr>
          <w:rFonts w:eastAsia="仿宋"/>
          <w:sz w:val="28"/>
          <w:szCs w:val="28"/>
        </w:rPr>
        <w:t>盐度的稳定对于石珊瑚也是非常重要的，盐度过度偏差会直接影响到珊瑚的健康(Ou, et al., 2021)。测定盐度的方式有很多种，比如导电探头，折射计和比重计。读数通常是比重（无单位）或者是盐度（以ppt为单位，大致表示的是1公斤水里盐的克数），最常用的是折射计测量海水盐度。常见的问题是盐度高于36ppt，解决办法有更换海水和适度添加纯水。</w:t>
      </w:r>
    </w:p>
    <w:p w14:paraId="5004B9CF">
      <w:pPr>
        <w:tabs>
          <w:tab w:val="center" w:pos="4201"/>
          <w:tab w:val="right" w:leader="dot" w:pos="9298"/>
        </w:tabs>
        <w:ind w:firstLine="562" w:firstLineChars="200"/>
        <w:rPr>
          <w:rFonts w:eastAsia="仿宋"/>
          <w:sz w:val="28"/>
          <w:szCs w:val="28"/>
        </w:rPr>
      </w:pPr>
      <w:r>
        <w:rPr>
          <w:rFonts w:eastAsia="仿宋"/>
          <w:b/>
          <w:bCs/>
          <w:sz w:val="28"/>
          <w:szCs w:val="28"/>
        </w:rPr>
        <w:t>碱度KH：</w:t>
      </w:r>
      <w:r>
        <w:rPr>
          <w:rFonts w:eastAsia="仿宋"/>
          <w:sz w:val="28"/>
          <w:szCs w:val="28"/>
        </w:rPr>
        <w:t>石珊瑚需要借助"碱度"来维持其碳酸钙骨骼的生长。为了保证海水里有足够的HCO</w:t>
      </w:r>
      <w:r>
        <w:rPr>
          <w:rFonts w:eastAsia="仿宋"/>
          <w:sz w:val="28"/>
          <w:szCs w:val="28"/>
          <w:vertAlign w:val="subscript"/>
        </w:rPr>
        <w:t>3</w:t>
      </w:r>
      <w:r>
        <w:rPr>
          <w:rFonts w:eastAsia="仿宋"/>
          <w:sz w:val="28"/>
          <w:szCs w:val="28"/>
          <w:vertAlign w:val="superscript"/>
        </w:rPr>
        <w:t>-</w:t>
      </w:r>
      <w:r>
        <w:rPr>
          <w:rFonts w:eastAsia="仿宋"/>
          <w:sz w:val="28"/>
          <w:szCs w:val="28"/>
        </w:rPr>
        <w:t>来供应珊瑚的需要，最直接的办法就是测试海水里的HCO</w:t>
      </w:r>
      <w:r>
        <w:rPr>
          <w:rFonts w:eastAsia="仿宋"/>
          <w:sz w:val="28"/>
          <w:szCs w:val="28"/>
          <w:vertAlign w:val="subscript"/>
        </w:rPr>
        <w:t>3</w:t>
      </w:r>
      <w:r>
        <w:rPr>
          <w:rFonts w:eastAsia="仿宋"/>
          <w:sz w:val="28"/>
          <w:szCs w:val="28"/>
          <w:vertAlign w:val="superscript"/>
        </w:rPr>
        <w:t>-</w:t>
      </w:r>
      <w:r>
        <w:rPr>
          <w:rFonts w:eastAsia="仿宋"/>
          <w:sz w:val="28"/>
          <w:szCs w:val="28"/>
        </w:rPr>
        <w:t>的含量，但是，要想制作出重碳酸盐测试剂却比制造硬度测试剂困难得多。因此在水族养殖方面我们使用碱度作为替代来测试HCO</w:t>
      </w:r>
      <w:r>
        <w:rPr>
          <w:rFonts w:eastAsia="仿宋"/>
          <w:sz w:val="28"/>
          <w:szCs w:val="28"/>
          <w:vertAlign w:val="subscript"/>
        </w:rPr>
        <w:t>3</w:t>
      </w:r>
      <w:r>
        <w:rPr>
          <w:rFonts w:eastAsia="仿宋"/>
          <w:sz w:val="28"/>
          <w:szCs w:val="28"/>
          <w:vertAlign w:val="superscript"/>
        </w:rPr>
        <w:t>-</w:t>
      </w:r>
      <w:r>
        <w:rPr>
          <w:rFonts w:eastAsia="仿宋"/>
          <w:sz w:val="28"/>
          <w:szCs w:val="28"/>
        </w:rPr>
        <w:t>的含量。而碱度就是将PH值下降到4.5所需要的氢离子数量，碱度主要由HCO</w:t>
      </w:r>
      <w:r>
        <w:rPr>
          <w:rFonts w:eastAsia="仿宋"/>
          <w:sz w:val="28"/>
          <w:szCs w:val="28"/>
          <w:vertAlign w:val="subscript"/>
        </w:rPr>
        <w:t>3</w:t>
      </w:r>
      <w:r>
        <w:rPr>
          <w:rFonts w:eastAsia="仿宋"/>
          <w:sz w:val="28"/>
          <w:szCs w:val="28"/>
          <w:vertAlign w:val="superscript"/>
        </w:rPr>
        <w:t>-</w:t>
      </w:r>
      <w:r>
        <w:rPr>
          <w:rFonts w:eastAsia="仿宋"/>
          <w:sz w:val="28"/>
          <w:szCs w:val="28"/>
        </w:rPr>
        <w:t>的含量决定，因此知道在PH降到4.5的时候有多少氢离子被消耗就等同于知道HCO</w:t>
      </w:r>
      <w:r>
        <w:rPr>
          <w:rFonts w:eastAsia="仿宋"/>
          <w:sz w:val="28"/>
          <w:szCs w:val="28"/>
          <w:vertAlign w:val="subscript"/>
        </w:rPr>
        <w:t>3</w:t>
      </w:r>
      <w:r>
        <w:rPr>
          <w:rFonts w:eastAsia="仿宋"/>
          <w:sz w:val="28"/>
          <w:szCs w:val="28"/>
          <w:vertAlign w:val="superscript"/>
        </w:rPr>
        <w:t>-</w:t>
      </w:r>
      <w:r>
        <w:rPr>
          <w:rFonts w:eastAsia="仿宋"/>
          <w:sz w:val="28"/>
          <w:szCs w:val="28"/>
        </w:rPr>
        <w:t>的数量。这个时候，我们等于可以很方便的用碱度作为标准来衡量重碳酸盐数量。维持碱度的稳定对于石珊瑚养殖而言一个很重要的任务，如果缺乏补充手段，水中的重碳酸盐会迅速被珊瑚耗尽。因此钙反装置的正常运行是维持钙及碱度平衡的重要方式之一。如果需要迅速修正碱度值的话，使用滴定装置滴加碳酸氢纳也可以获得很好的效果。</w:t>
      </w:r>
    </w:p>
    <w:p w14:paraId="49C65314">
      <w:pPr>
        <w:tabs>
          <w:tab w:val="center" w:pos="4201"/>
          <w:tab w:val="right" w:leader="dot" w:pos="9298"/>
        </w:tabs>
        <w:ind w:firstLine="562" w:firstLineChars="200"/>
        <w:rPr>
          <w:rFonts w:eastAsia="仿宋"/>
          <w:sz w:val="28"/>
          <w:szCs w:val="28"/>
        </w:rPr>
      </w:pPr>
      <w:r>
        <w:rPr>
          <w:rFonts w:eastAsia="仿宋"/>
          <w:b/>
          <w:bCs/>
          <w:sz w:val="28"/>
          <w:szCs w:val="28"/>
        </w:rPr>
        <w:t>酸碱度pH：</w:t>
      </w:r>
      <w:r>
        <w:rPr>
          <w:rFonts w:eastAsia="仿宋"/>
          <w:sz w:val="28"/>
          <w:szCs w:val="28"/>
        </w:rPr>
        <w:t>石珊瑚只能生长在特定的PH范围之内，因此维持养殖海水PH的稳定对于石珊瑚养殖至关重要。自然海水的PH值(7.9～8.3)对于石珊瑚来说是相对理想的，因为养殖水体偏酸性会直接影响到石珊瑚的钙化。考虑到石珊瑚是国家二级保护动物，为世界珍稀濒危物种，因此建议养殖水体PH值保持在8.1-8.3最好。一般调节PH稳定的方式有清理钙藻、减少投食、添加珊瑚砂、滴加PH调节剂等方式。</w:t>
      </w:r>
    </w:p>
    <w:p w14:paraId="6EDE58EE">
      <w:pPr>
        <w:tabs>
          <w:tab w:val="center" w:pos="4201"/>
          <w:tab w:val="right" w:leader="dot" w:pos="9298"/>
        </w:tabs>
        <w:ind w:firstLine="562" w:firstLineChars="200"/>
        <w:rPr>
          <w:rFonts w:eastAsia="仿宋"/>
          <w:sz w:val="28"/>
          <w:szCs w:val="28"/>
        </w:rPr>
      </w:pPr>
      <w:r>
        <w:rPr>
          <w:rFonts w:eastAsia="仿宋"/>
          <w:b/>
          <w:bCs/>
          <w:sz w:val="28"/>
          <w:szCs w:val="28"/>
        </w:rPr>
        <w:t>钙Ca</w:t>
      </w:r>
      <w:r>
        <w:rPr>
          <w:rFonts w:eastAsia="仿宋"/>
          <w:b/>
          <w:bCs/>
          <w:sz w:val="28"/>
          <w:szCs w:val="28"/>
          <w:vertAlign w:val="superscript"/>
        </w:rPr>
        <w:t>2+</w:t>
      </w:r>
      <w:r>
        <w:rPr>
          <w:rFonts w:eastAsia="仿宋"/>
          <w:b/>
          <w:bCs/>
          <w:sz w:val="28"/>
          <w:szCs w:val="28"/>
        </w:rPr>
        <w:t>：</w:t>
      </w:r>
      <w:r>
        <w:rPr>
          <w:rFonts w:eastAsia="仿宋"/>
          <w:sz w:val="28"/>
          <w:szCs w:val="28"/>
        </w:rPr>
        <w:t>石珊瑚需要借助Ca</w:t>
      </w:r>
      <w:r>
        <w:rPr>
          <w:rFonts w:eastAsia="仿宋"/>
          <w:sz w:val="28"/>
          <w:szCs w:val="28"/>
          <w:vertAlign w:val="superscript"/>
        </w:rPr>
        <w:t>2+</w:t>
      </w:r>
      <w:r>
        <w:rPr>
          <w:rFonts w:eastAsia="仿宋"/>
          <w:sz w:val="28"/>
          <w:szCs w:val="28"/>
        </w:rPr>
        <w:t>形成碳酸钙骨骼，其主要在养殖水体获得Ca</w:t>
      </w:r>
      <w:r>
        <w:rPr>
          <w:rFonts w:eastAsia="仿宋"/>
          <w:sz w:val="28"/>
          <w:szCs w:val="28"/>
          <w:vertAlign w:val="superscript"/>
        </w:rPr>
        <w:t>2+</w:t>
      </w:r>
      <w:r>
        <w:rPr>
          <w:rFonts w:eastAsia="仿宋"/>
          <w:sz w:val="28"/>
          <w:szCs w:val="28"/>
        </w:rPr>
        <w:t>。在养殖过程中随着石珊瑚、钙藻等钙化生物的生长，水中的Ca</w:t>
      </w:r>
      <w:r>
        <w:rPr>
          <w:rFonts w:eastAsia="仿宋"/>
          <w:sz w:val="28"/>
          <w:szCs w:val="28"/>
          <w:vertAlign w:val="superscript"/>
        </w:rPr>
        <w:t>2+</w:t>
      </w:r>
      <w:r>
        <w:rPr>
          <w:rFonts w:eastAsia="仿宋"/>
          <w:sz w:val="28"/>
          <w:szCs w:val="28"/>
        </w:rPr>
        <w:t>就会逐渐被消耗。如果Ca</w:t>
      </w:r>
      <w:r>
        <w:rPr>
          <w:rFonts w:eastAsia="仿宋"/>
          <w:sz w:val="28"/>
          <w:szCs w:val="28"/>
          <w:vertAlign w:val="superscript"/>
        </w:rPr>
        <w:t>2+</w:t>
      </w:r>
      <w:r>
        <w:rPr>
          <w:rFonts w:eastAsia="仿宋"/>
          <w:sz w:val="28"/>
          <w:szCs w:val="28"/>
        </w:rPr>
        <w:t>含量下降到360ppm以下，对于珊瑚来说吸收钙就变得明显的困难，这样会抑制珊瑚生长(Ng, et al., 2015)。因此，维持Ca</w:t>
      </w:r>
      <w:r>
        <w:rPr>
          <w:rFonts w:eastAsia="仿宋"/>
          <w:sz w:val="28"/>
          <w:szCs w:val="28"/>
          <w:vertAlign w:val="superscript"/>
        </w:rPr>
        <w:t>2+</w:t>
      </w:r>
      <w:r>
        <w:rPr>
          <w:rFonts w:eastAsia="仿宋"/>
          <w:sz w:val="28"/>
          <w:szCs w:val="28"/>
        </w:rPr>
        <w:t>含量稳定对于石珊瑚养殖来说是非常重要的事情之一。一般而言，维持钙含量在自然水平(大约420ppm)左右，对于多数石珊瑚来说已足够其正常钙化。因此，建议珊瑚缸的钙水平维持在380-450ppm，同时也建议使用钙反装置及滴定Cacl</w:t>
      </w:r>
      <w:r>
        <w:rPr>
          <w:rFonts w:eastAsia="仿宋"/>
          <w:sz w:val="28"/>
          <w:szCs w:val="28"/>
          <w:vertAlign w:val="subscript"/>
        </w:rPr>
        <w:t>2</w:t>
      </w:r>
      <w:r>
        <w:rPr>
          <w:rFonts w:eastAsia="仿宋"/>
          <w:sz w:val="28"/>
          <w:szCs w:val="28"/>
        </w:rPr>
        <w:t>方式作为调整方式。</w:t>
      </w:r>
    </w:p>
    <w:p w14:paraId="0C578D44">
      <w:pPr>
        <w:tabs>
          <w:tab w:val="center" w:pos="4201"/>
          <w:tab w:val="right" w:leader="dot" w:pos="9298"/>
        </w:tabs>
        <w:ind w:firstLine="562" w:firstLineChars="200"/>
        <w:rPr>
          <w:rFonts w:eastAsia="仿宋"/>
          <w:sz w:val="28"/>
          <w:szCs w:val="28"/>
        </w:rPr>
      </w:pPr>
      <w:r>
        <w:rPr>
          <w:rFonts w:eastAsia="仿宋"/>
          <w:b/>
          <w:bCs/>
          <w:sz w:val="28"/>
          <w:szCs w:val="28"/>
        </w:rPr>
        <w:t>镁Mg</w:t>
      </w:r>
      <w:r>
        <w:rPr>
          <w:rFonts w:eastAsia="仿宋"/>
          <w:b/>
          <w:bCs/>
          <w:sz w:val="28"/>
          <w:szCs w:val="28"/>
          <w:vertAlign w:val="superscript"/>
        </w:rPr>
        <w:t>2+</w:t>
      </w:r>
      <w:r>
        <w:rPr>
          <w:rFonts w:eastAsia="仿宋"/>
          <w:b/>
          <w:bCs/>
          <w:sz w:val="28"/>
          <w:szCs w:val="28"/>
        </w:rPr>
        <w:t>：</w:t>
      </w:r>
      <w:r>
        <w:rPr>
          <w:rFonts w:eastAsia="仿宋"/>
          <w:sz w:val="28"/>
          <w:szCs w:val="28"/>
        </w:rPr>
        <w:t>Mg</w:t>
      </w:r>
      <w:r>
        <w:rPr>
          <w:rFonts w:eastAsia="仿宋"/>
          <w:sz w:val="28"/>
          <w:szCs w:val="28"/>
          <w:vertAlign w:val="superscript"/>
        </w:rPr>
        <w:t>2+</w:t>
      </w:r>
      <w:r>
        <w:rPr>
          <w:rFonts w:eastAsia="仿宋"/>
          <w:sz w:val="28"/>
          <w:szCs w:val="28"/>
        </w:rPr>
        <w:t>之所以重要是因为它于Ca</w:t>
      </w:r>
      <w:r>
        <w:rPr>
          <w:rFonts w:eastAsia="仿宋"/>
          <w:sz w:val="28"/>
          <w:szCs w:val="28"/>
          <w:vertAlign w:val="superscript"/>
        </w:rPr>
        <w:t>2+</w:t>
      </w:r>
      <w:r>
        <w:rPr>
          <w:rFonts w:eastAsia="仿宋"/>
          <w:sz w:val="28"/>
          <w:szCs w:val="28"/>
        </w:rPr>
        <w:t>的交互关系以及对养殖水体碱度平衡的影响。石珊瑚养殖海水中碳酸钙是过饱的，只要海水中的碳酸钙一出现沉淀，镁沉淀会立刻包裹在碳酸钙结晶的外表面，这样可以阻止碳酸钙结晶沉淀，海水中才没有很剧烈的非生物性碳酸盐沉淀。因此，石珊瑚养殖海水应以自然海水的镁含量作为标准（1250～1350ppm），稍有偏差也是可以接受的。定期的监测Mg</w:t>
      </w:r>
      <w:r>
        <w:rPr>
          <w:rFonts w:eastAsia="仿宋"/>
          <w:sz w:val="28"/>
          <w:szCs w:val="28"/>
          <w:vertAlign w:val="superscript"/>
        </w:rPr>
        <w:t>2+</w:t>
      </w:r>
      <w:r>
        <w:rPr>
          <w:rFonts w:eastAsia="仿宋"/>
          <w:sz w:val="28"/>
          <w:szCs w:val="28"/>
        </w:rPr>
        <w:t>含量是必要的，特别是当养殖水中出现非生物性沉淀很可能是因为镁缺乏导致的。我们可以通过滴加Mgcl</w:t>
      </w:r>
      <w:r>
        <w:rPr>
          <w:rFonts w:eastAsia="仿宋"/>
          <w:sz w:val="28"/>
          <w:szCs w:val="28"/>
          <w:vertAlign w:val="subscript"/>
        </w:rPr>
        <w:t>2</w:t>
      </w:r>
      <w:r>
        <w:rPr>
          <w:rFonts w:eastAsia="仿宋"/>
          <w:sz w:val="28"/>
          <w:szCs w:val="28"/>
        </w:rPr>
        <w:t>溶液来改善养殖水体缺乏Mg</w:t>
      </w:r>
      <w:r>
        <w:rPr>
          <w:rFonts w:eastAsia="仿宋"/>
          <w:sz w:val="28"/>
          <w:szCs w:val="28"/>
          <w:vertAlign w:val="superscript"/>
        </w:rPr>
        <w:t>2+</w:t>
      </w:r>
      <w:r>
        <w:rPr>
          <w:rFonts w:eastAsia="仿宋"/>
          <w:sz w:val="28"/>
          <w:szCs w:val="28"/>
        </w:rPr>
        <w:t>的问题。</w:t>
      </w:r>
    </w:p>
    <w:p w14:paraId="35F395C3">
      <w:pPr>
        <w:tabs>
          <w:tab w:val="center" w:pos="4201"/>
          <w:tab w:val="right" w:leader="dot" w:pos="9298"/>
        </w:tabs>
        <w:ind w:firstLine="562" w:firstLineChars="200"/>
        <w:rPr>
          <w:rFonts w:eastAsia="仿宋"/>
          <w:sz w:val="28"/>
          <w:szCs w:val="28"/>
        </w:rPr>
      </w:pPr>
      <w:r>
        <w:rPr>
          <w:rFonts w:eastAsia="仿宋"/>
          <w:b/>
          <w:bCs/>
          <w:sz w:val="28"/>
          <w:szCs w:val="28"/>
        </w:rPr>
        <w:t>铵NH</w:t>
      </w:r>
      <w:r>
        <w:rPr>
          <w:rFonts w:eastAsia="仿宋"/>
          <w:b/>
          <w:bCs/>
          <w:sz w:val="28"/>
          <w:szCs w:val="28"/>
          <w:vertAlign w:val="subscript"/>
        </w:rPr>
        <w:t>4</w:t>
      </w:r>
      <w:r>
        <w:rPr>
          <w:rFonts w:eastAsia="仿宋"/>
          <w:b/>
          <w:bCs/>
          <w:sz w:val="28"/>
          <w:szCs w:val="28"/>
          <w:vertAlign w:val="superscript"/>
        </w:rPr>
        <w:t>+</w:t>
      </w:r>
      <w:r>
        <w:rPr>
          <w:rFonts w:eastAsia="仿宋"/>
          <w:b/>
          <w:bCs/>
          <w:sz w:val="28"/>
          <w:szCs w:val="28"/>
        </w:rPr>
        <w:t>、亚硝酸盐N0</w:t>
      </w:r>
      <w:r>
        <w:rPr>
          <w:rFonts w:eastAsia="仿宋"/>
          <w:b/>
          <w:bCs/>
          <w:sz w:val="28"/>
          <w:szCs w:val="28"/>
          <w:vertAlign w:val="subscript"/>
        </w:rPr>
        <w:t>2</w:t>
      </w:r>
      <w:r>
        <w:rPr>
          <w:rFonts w:eastAsia="仿宋"/>
          <w:b/>
          <w:bCs/>
          <w:sz w:val="28"/>
          <w:szCs w:val="28"/>
          <w:vertAlign w:val="superscript"/>
        </w:rPr>
        <w:t>-</w:t>
      </w:r>
      <w:r>
        <w:rPr>
          <w:rFonts w:eastAsia="仿宋"/>
          <w:b/>
          <w:bCs/>
          <w:sz w:val="28"/>
          <w:szCs w:val="28"/>
        </w:rPr>
        <w:t>、硝酸盐N0</w:t>
      </w:r>
      <w:r>
        <w:rPr>
          <w:rFonts w:eastAsia="仿宋"/>
          <w:b/>
          <w:bCs/>
          <w:sz w:val="28"/>
          <w:szCs w:val="28"/>
          <w:vertAlign w:val="subscript"/>
        </w:rPr>
        <w:t>3</w:t>
      </w:r>
      <w:r>
        <w:rPr>
          <w:rFonts w:eastAsia="仿宋"/>
          <w:b/>
          <w:bCs/>
          <w:sz w:val="28"/>
          <w:szCs w:val="28"/>
          <w:vertAlign w:val="superscript"/>
        </w:rPr>
        <w:t>-</w:t>
      </w:r>
      <w:r>
        <w:rPr>
          <w:rFonts w:eastAsia="仿宋"/>
          <w:b/>
          <w:bCs/>
          <w:sz w:val="28"/>
          <w:szCs w:val="28"/>
        </w:rPr>
        <w:t>、磷酸盐P0</w:t>
      </w:r>
      <w:r>
        <w:rPr>
          <w:rFonts w:eastAsia="仿宋"/>
          <w:b/>
          <w:bCs/>
          <w:sz w:val="28"/>
          <w:szCs w:val="28"/>
          <w:vertAlign w:val="subscript"/>
        </w:rPr>
        <w:t>4</w:t>
      </w:r>
      <w:r>
        <w:rPr>
          <w:rFonts w:eastAsia="仿宋"/>
          <w:b/>
          <w:bCs/>
          <w:sz w:val="28"/>
          <w:szCs w:val="28"/>
          <w:vertAlign w:val="superscript"/>
        </w:rPr>
        <w:t>3-</w:t>
      </w:r>
      <w:r>
        <w:rPr>
          <w:rFonts w:eastAsia="仿宋"/>
          <w:b/>
          <w:bCs/>
          <w:sz w:val="28"/>
          <w:szCs w:val="28"/>
        </w:rPr>
        <w:t>：</w:t>
      </w:r>
      <w:r>
        <w:rPr>
          <w:rFonts w:eastAsia="仿宋"/>
          <w:sz w:val="28"/>
          <w:szCs w:val="28"/>
        </w:rPr>
        <w:t>铵NH</w:t>
      </w:r>
      <w:r>
        <w:rPr>
          <w:rFonts w:eastAsia="仿宋"/>
          <w:sz w:val="28"/>
          <w:szCs w:val="28"/>
          <w:vertAlign w:val="subscript"/>
        </w:rPr>
        <w:t>4</w:t>
      </w:r>
      <w:r>
        <w:rPr>
          <w:rFonts w:eastAsia="仿宋"/>
          <w:sz w:val="28"/>
          <w:szCs w:val="28"/>
          <w:vertAlign w:val="superscript"/>
        </w:rPr>
        <w:t>+</w:t>
      </w:r>
      <w:r>
        <w:rPr>
          <w:rFonts w:eastAsia="仿宋"/>
          <w:sz w:val="28"/>
          <w:szCs w:val="28"/>
        </w:rPr>
        <w:t>属于氨氮，是水生动物代谢的产物氨(NH</w:t>
      </w:r>
      <w:r>
        <w:rPr>
          <w:rFonts w:eastAsia="仿宋"/>
          <w:sz w:val="28"/>
          <w:szCs w:val="28"/>
          <w:vertAlign w:val="subscript"/>
        </w:rPr>
        <w:t>3</w:t>
      </w:r>
      <w:r>
        <w:rPr>
          <w:rFonts w:eastAsia="仿宋"/>
          <w:sz w:val="28"/>
          <w:szCs w:val="28"/>
        </w:rPr>
        <w:t>)与水体中的H</w:t>
      </w:r>
      <w:r>
        <w:rPr>
          <w:rFonts w:eastAsia="仿宋"/>
          <w:sz w:val="28"/>
          <w:szCs w:val="28"/>
          <w:vertAlign w:val="superscript"/>
        </w:rPr>
        <w:t>+</w:t>
      </w:r>
      <w:r>
        <w:rPr>
          <w:rFonts w:eastAsia="仿宋"/>
          <w:sz w:val="28"/>
          <w:szCs w:val="28"/>
        </w:rPr>
        <w:t>化合而成的产物，在水体中两种形式会相互转化，所以它们并不是独立的化学物质。NH</w:t>
      </w:r>
      <w:r>
        <w:rPr>
          <w:rFonts w:eastAsia="仿宋"/>
          <w:sz w:val="28"/>
          <w:szCs w:val="28"/>
          <w:vertAlign w:val="subscript"/>
        </w:rPr>
        <w:t>4</w:t>
      </w:r>
      <w:r>
        <w:rPr>
          <w:rFonts w:eastAsia="仿宋"/>
          <w:sz w:val="28"/>
          <w:szCs w:val="28"/>
          <w:vertAlign w:val="superscript"/>
        </w:rPr>
        <w:t>+</w:t>
      </w:r>
      <w:r>
        <w:rPr>
          <w:rFonts w:eastAsia="仿宋"/>
          <w:sz w:val="28"/>
          <w:szCs w:val="28"/>
        </w:rPr>
        <w:t>对于很多动物来说都是有毒的，除了少数藻类以氨作为养料。在构建石珊瑚养殖系统时，合理的搭配藻坪和养殖一些藻类，他们可以有效的利用NH</w:t>
      </w:r>
      <w:r>
        <w:rPr>
          <w:rFonts w:eastAsia="仿宋"/>
          <w:sz w:val="28"/>
          <w:szCs w:val="28"/>
          <w:vertAlign w:val="subscript"/>
        </w:rPr>
        <w:t>4</w:t>
      </w:r>
      <w:r>
        <w:rPr>
          <w:rFonts w:eastAsia="仿宋"/>
          <w:sz w:val="28"/>
          <w:szCs w:val="28"/>
          <w:vertAlign w:val="superscript"/>
        </w:rPr>
        <w:t>+</w:t>
      </w:r>
      <w:r>
        <w:rPr>
          <w:rFonts w:eastAsia="仿宋"/>
          <w:sz w:val="28"/>
          <w:szCs w:val="28"/>
        </w:rPr>
        <w:t>合成有机物。一般面对NH</w:t>
      </w:r>
      <w:r>
        <w:rPr>
          <w:rFonts w:eastAsia="仿宋"/>
          <w:sz w:val="28"/>
          <w:szCs w:val="28"/>
          <w:vertAlign w:val="subscript"/>
        </w:rPr>
        <w:t>4</w:t>
      </w:r>
      <w:r>
        <w:rPr>
          <w:rFonts w:eastAsia="仿宋"/>
          <w:sz w:val="28"/>
          <w:szCs w:val="28"/>
          <w:vertAlign w:val="superscript"/>
        </w:rPr>
        <w:t>+</w:t>
      </w:r>
      <w:r>
        <w:rPr>
          <w:rFonts w:eastAsia="仿宋"/>
          <w:sz w:val="28"/>
          <w:szCs w:val="28"/>
        </w:rPr>
        <w:t>的威胁我们可以通过藻坪，硝化作用，更换海水等方式解决(Yuen, et al., 2009)。</w:t>
      </w:r>
    </w:p>
    <w:p w14:paraId="4FE8B297">
      <w:pPr>
        <w:tabs>
          <w:tab w:val="center" w:pos="4201"/>
          <w:tab w:val="right" w:leader="dot" w:pos="9298"/>
        </w:tabs>
        <w:ind w:firstLine="560" w:firstLineChars="200"/>
        <w:rPr>
          <w:rFonts w:eastAsia="仿宋"/>
          <w:sz w:val="28"/>
          <w:szCs w:val="28"/>
        </w:rPr>
      </w:pPr>
      <w:r>
        <w:rPr>
          <w:rFonts w:eastAsia="仿宋"/>
          <w:sz w:val="28"/>
          <w:szCs w:val="28"/>
        </w:rPr>
        <w:t>亚硝酸盐N0</w:t>
      </w:r>
      <w:r>
        <w:rPr>
          <w:rFonts w:eastAsia="仿宋"/>
          <w:sz w:val="28"/>
          <w:szCs w:val="28"/>
          <w:vertAlign w:val="subscript"/>
        </w:rPr>
        <w:t>2</w:t>
      </w:r>
      <w:r>
        <w:rPr>
          <w:rFonts w:eastAsia="仿宋"/>
          <w:sz w:val="28"/>
          <w:szCs w:val="28"/>
          <w:vertAlign w:val="superscript"/>
        </w:rPr>
        <w:t>-</w:t>
      </w:r>
      <w:r>
        <w:rPr>
          <w:rFonts w:eastAsia="仿宋"/>
          <w:sz w:val="28"/>
          <w:szCs w:val="28"/>
        </w:rPr>
        <w:t>与硝酸盐N0</w:t>
      </w:r>
      <w:r>
        <w:rPr>
          <w:rFonts w:eastAsia="仿宋"/>
          <w:sz w:val="28"/>
          <w:szCs w:val="28"/>
          <w:vertAlign w:val="subscript"/>
        </w:rPr>
        <w:t>3</w:t>
      </w:r>
      <w:r>
        <w:rPr>
          <w:rFonts w:eastAsia="仿宋"/>
          <w:sz w:val="28"/>
          <w:szCs w:val="28"/>
          <w:vertAlign w:val="superscript"/>
        </w:rPr>
        <w:t>-</w:t>
      </w:r>
      <w:r>
        <w:rPr>
          <w:rFonts w:eastAsia="仿宋"/>
          <w:sz w:val="28"/>
          <w:szCs w:val="28"/>
        </w:rPr>
        <w:t>都属于硝态氮，相互之间可以转换，含量高时会威胁到水生动物的生命安全，这种含氮化合物来自食或一些腐烂动植物。在石珊瑚养殖过程中，硝态氮的含量需要维持在较低水平，需要养殖人员及时清理养殖系统内多余的藻类以及过量的食物。一般而言，养殖石珊瑚的水体应尽量使N0</w:t>
      </w:r>
      <w:r>
        <w:rPr>
          <w:rFonts w:eastAsia="仿宋"/>
          <w:sz w:val="28"/>
          <w:szCs w:val="28"/>
          <w:vertAlign w:val="subscript"/>
        </w:rPr>
        <w:t>2</w:t>
      </w:r>
      <w:r>
        <w:rPr>
          <w:rFonts w:eastAsia="仿宋"/>
          <w:sz w:val="28"/>
          <w:szCs w:val="28"/>
          <w:vertAlign w:val="superscript"/>
        </w:rPr>
        <w:t>-</w:t>
      </w:r>
      <w:r>
        <w:rPr>
          <w:rFonts w:eastAsia="仿宋"/>
          <w:sz w:val="28"/>
          <w:szCs w:val="28"/>
        </w:rPr>
        <w:t>与N0</w:t>
      </w:r>
      <w:r>
        <w:rPr>
          <w:rFonts w:eastAsia="仿宋"/>
          <w:sz w:val="28"/>
          <w:szCs w:val="28"/>
          <w:vertAlign w:val="subscript"/>
        </w:rPr>
        <w:t>3</w:t>
      </w:r>
      <w:r>
        <w:rPr>
          <w:rFonts w:eastAsia="仿宋"/>
          <w:sz w:val="28"/>
          <w:szCs w:val="28"/>
          <w:vertAlign w:val="superscript"/>
        </w:rPr>
        <w:t>-</w:t>
      </w:r>
      <w:r>
        <w:rPr>
          <w:rFonts w:eastAsia="仿宋"/>
          <w:sz w:val="28"/>
          <w:szCs w:val="28"/>
        </w:rPr>
        <w:t>控制在低水平，小于0.2ppm宜为达标，如果为0ppm则最好。减少N0</w:t>
      </w:r>
      <w:r>
        <w:rPr>
          <w:rFonts w:eastAsia="仿宋"/>
          <w:sz w:val="28"/>
          <w:szCs w:val="28"/>
          <w:vertAlign w:val="subscript"/>
        </w:rPr>
        <w:t>2</w:t>
      </w:r>
      <w:r>
        <w:rPr>
          <w:rFonts w:eastAsia="仿宋"/>
          <w:sz w:val="28"/>
          <w:szCs w:val="28"/>
          <w:vertAlign w:val="superscript"/>
        </w:rPr>
        <w:t>-</w:t>
      </w:r>
      <w:r>
        <w:rPr>
          <w:rFonts w:eastAsia="仿宋"/>
          <w:sz w:val="28"/>
          <w:szCs w:val="28"/>
        </w:rPr>
        <w:t>与N0</w:t>
      </w:r>
      <w:r>
        <w:rPr>
          <w:rFonts w:eastAsia="仿宋"/>
          <w:sz w:val="28"/>
          <w:szCs w:val="28"/>
          <w:vertAlign w:val="subscript"/>
        </w:rPr>
        <w:t>3</w:t>
      </w:r>
      <w:r>
        <w:rPr>
          <w:rFonts w:eastAsia="仿宋"/>
          <w:sz w:val="28"/>
          <w:szCs w:val="28"/>
          <w:vertAlign w:val="superscript"/>
        </w:rPr>
        <w:t>-</w:t>
      </w:r>
      <w:r>
        <w:rPr>
          <w:rFonts w:eastAsia="仿宋"/>
          <w:sz w:val="28"/>
          <w:szCs w:val="28"/>
        </w:rPr>
        <w:t>的方法很多，比如控制含氮物质的投入，及时清理蛋白质分离器，通过藻坪过滤，及时清理杂藻，改善过滤系统等。磷酸盐P0</w:t>
      </w:r>
      <w:r>
        <w:rPr>
          <w:rFonts w:eastAsia="仿宋"/>
          <w:sz w:val="28"/>
          <w:szCs w:val="28"/>
          <w:vertAlign w:val="subscript"/>
        </w:rPr>
        <w:t>4</w:t>
      </w:r>
      <w:r>
        <w:rPr>
          <w:rFonts w:eastAsia="仿宋"/>
          <w:sz w:val="28"/>
          <w:szCs w:val="28"/>
          <w:vertAlign w:val="superscript"/>
        </w:rPr>
        <w:t>3-</w:t>
      </w:r>
      <w:r>
        <w:rPr>
          <w:rFonts w:eastAsia="仿宋"/>
          <w:sz w:val="28"/>
          <w:szCs w:val="28"/>
        </w:rPr>
        <w:t>是磷在养殖水体中的最常见的形式，一般来自投喂的饲料，或是原水本身。如果水体中的P0</w:t>
      </w:r>
      <w:r>
        <w:rPr>
          <w:rFonts w:eastAsia="仿宋"/>
          <w:sz w:val="28"/>
          <w:szCs w:val="28"/>
          <w:vertAlign w:val="subscript"/>
        </w:rPr>
        <w:t>4</w:t>
      </w:r>
      <w:r>
        <w:rPr>
          <w:rFonts w:eastAsia="仿宋"/>
          <w:sz w:val="28"/>
          <w:szCs w:val="28"/>
          <w:vertAlign w:val="superscript"/>
        </w:rPr>
        <w:t>3-</w:t>
      </w:r>
      <w:r>
        <w:rPr>
          <w:rFonts w:eastAsia="仿宋"/>
          <w:sz w:val="28"/>
          <w:szCs w:val="28"/>
        </w:rPr>
        <w:t>过高，可能会抑制珊瑚的钙化，致使珊瑚停止生长(时翔，等, 2008)。此外，P0</w:t>
      </w:r>
      <w:r>
        <w:rPr>
          <w:rFonts w:eastAsia="仿宋"/>
          <w:sz w:val="28"/>
          <w:szCs w:val="28"/>
          <w:vertAlign w:val="subscript"/>
        </w:rPr>
        <w:t>4</w:t>
      </w:r>
      <w:r>
        <w:rPr>
          <w:rFonts w:eastAsia="仿宋"/>
          <w:sz w:val="28"/>
          <w:szCs w:val="28"/>
          <w:vertAlign w:val="superscript"/>
        </w:rPr>
        <w:t>3-</w:t>
      </w:r>
      <w:r>
        <w:rPr>
          <w:rFonts w:eastAsia="仿宋"/>
          <w:sz w:val="28"/>
          <w:szCs w:val="28"/>
        </w:rPr>
        <w:t>还可能成为藻类的肥料，促进藻类爆发，藻类的泛滥就可能引发各种问题。一般而言，将养殖水体中磷酸盐浓度控制在自然海水较低水平（0.03ppm）宜最佳。</w:t>
      </w:r>
    </w:p>
    <w:p w14:paraId="60DDADE8">
      <w:pPr>
        <w:pStyle w:val="7"/>
        <w:widowControl/>
        <w:numPr>
          <w:ilvl w:val="1"/>
          <w:numId w:val="5"/>
        </w:numPr>
        <w:adjustRightInd w:val="0"/>
        <w:snapToGrid w:val="0"/>
        <w:spacing w:before="156" w:beforeLines="50" w:beforeAutospacing="0" w:after="156" w:afterLines="50" w:afterAutospacing="0"/>
        <w:jc w:val="center"/>
      </w:pPr>
      <w:bookmarkStart w:id="8" w:name="_Toc205305030"/>
      <w:bookmarkStart w:id="9" w:name="_Toc205304985"/>
      <w:r>
        <w:rPr>
          <w:rFonts w:eastAsia="黑体"/>
          <w:kern w:val="21"/>
          <w:sz w:val="21"/>
          <w:szCs w:val="20"/>
          <w:lang w:bidi="ar"/>
        </w:rPr>
        <w:t>观赏石珊瑚养殖常见病害诊断及解决方法</w:t>
      </w:r>
      <w:bookmarkEnd w:id="8"/>
      <w:bookmarkEnd w:id="9"/>
    </w:p>
    <w:tbl>
      <w:tblPr>
        <w:tblStyle w:val="9"/>
        <w:tblW w:w="4994" w:type="pct"/>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4" w:space="0"/>
        </w:tblBorders>
        <w:tblLayout w:type="autofit"/>
        <w:tblCellMar>
          <w:top w:w="0" w:type="dxa"/>
          <w:left w:w="0" w:type="dxa"/>
          <w:bottom w:w="0" w:type="dxa"/>
          <w:right w:w="0" w:type="dxa"/>
        </w:tblCellMar>
      </w:tblPr>
      <w:tblGrid>
        <w:gridCol w:w="1057"/>
        <w:gridCol w:w="2167"/>
        <w:gridCol w:w="5232"/>
      </w:tblGrid>
      <w:tr w14:paraId="71BCA48E">
        <w:tblPrEx>
          <w:tblBorders>
            <w:top w:val="single" w:color="000000" w:sz="8" w:space="0"/>
            <w:left w:val="single" w:color="000000" w:sz="8" w:space="0"/>
            <w:bottom w:val="single" w:color="000000" w:sz="8" w:space="0"/>
            <w:right w:val="single" w:color="000000" w:sz="8" w:space="0"/>
            <w:insideH w:val="single" w:color="000000" w:sz="8" w:space="0"/>
            <w:insideV w:val="single" w:color="000000" w:sz="4" w:space="0"/>
          </w:tblBorders>
          <w:tblCellMar>
            <w:top w:w="0" w:type="dxa"/>
            <w:left w:w="0" w:type="dxa"/>
            <w:bottom w:w="0" w:type="dxa"/>
            <w:right w:w="0" w:type="dxa"/>
          </w:tblCellMar>
        </w:tblPrEx>
        <w:trPr>
          <w:trHeight w:val="400" w:hRule="atLeast"/>
        </w:trPr>
        <w:tc>
          <w:tcPr>
            <w:tcW w:w="625" w:type="pct"/>
            <w:tcBorders>
              <w:top w:val="single" w:color="000000" w:sz="8" w:space="0"/>
              <w:left w:val="single" w:color="000000" w:sz="8" w:space="0"/>
              <w:bottom w:val="single" w:color="000000" w:sz="8" w:space="0"/>
              <w:right w:val="single" w:color="000000" w:sz="4" w:space="0"/>
            </w:tcBorders>
            <w:shd w:val="clear" w:color="auto" w:fill="auto"/>
            <w:tcMar>
              <w:top w:w="90" w:type="dxa"/>
              <w:left w:w="80" w:type="dxa"/>
              <w:bottom w:w="90" w:type="dxa"/>
              <w:right w:w="80" w:type="dxa"/>
            </w:tcMar>
            <w:vAlign w:val="center"/>
          </w:tcPr>
          <w:p w14:paraId="28DED088">
            <w:pPr>
              <w:widowControl/>
              <w:jc w:val="center"/>
              <w:textAlignment w:val="top"/>
              <w:rPr>
                <w:color w:val="000000"/>
                <w:kern w:val="0"/>
                <w:sz w:val="18"/>
                <w:szCs w:val="18"/>
              </w:rPr>
            </w:pPr>
            <w:r>
              <w:rPr>
                <w:color w:val="000000"/>
                <w:kern w:val="0"/>
                <w:sz w:val="18"/>
                <w:szCs w:val="18"/>
                <w:lang w:bidi="ar"/>
              </w:rPr>
              <w:t>病害名称</w:t>
            </w:r>
          </w:p>
        </w:tc>
        <w:tc>
          <w:tcPr>
            <w:tcW w:w="1281" w:type="pct"/>
            <w:tcBorders>
              <w:top w:val="single" w:color="000000" w:sz="8" w:space="0"/>
              <w:left w:val="single" w:color="000000" w:sz="4" w:space="0"/>
              <w:bottom w:val="single" w:color="000000" w:sz="8" w:space="0"/>
              <w:right w:val="single" w:color="000000" w:sz="4" w:space="0"/>
            </w:tcBorders>
            <w:shd w:val="clear" w:color="auto" w:fill="auto"/>
            <w:tcMar>
              <w:top w:w="90" w:type="dxa"/>
              <w:left w:w="80" w:type="dxa"/>
              <w:bottom w:w="90" w:type="dxa"/>
              <w:right w:w="80" w:type="dxa"/>
            </w:tcMar>
            <w:vAlign w:val="center"/>
          </w:tcPr>
          <w:p w14:paraId="37FBEBE0">
            <w:pPr>
              <w:widowControl/>
              <w:jc w:val="center"/>
              <w:textAlignment w:val="top"/>
              <w:rPr>
                <w:color w:val="000000"/>
                <w:kern w:val="0"/>
                <w:sz w:val="18"/>
                <w:szCs w:val="18"/>
              </w:rPr>
            </w:pPr>
            <w:r>
              <w:rPr>
                <w:color w:val="000000"/>
                <w:kern w:val="0"/>
                <w:sz w:val="18"/>
                <w:szCs w:val="18"/>
                <w:lang w:bidi="ar"/>
              </w:rPr>
              <w:t>诊断依据</w:t>
            </w:r>
          </w:p>
        </w:tc>
        <w:tc>
          <w:tcPr>
            <w:tcW w:w="3093" w:type="pct"/>
            <w:tcBorders>
              <w:top w:val="single" w:color="000000" w:sz="8" w:space="0"/>
              <w:left w:val="single" w:color="000000" w:sz="4" w:space="0"/>
              <w:bottom w:val="single" w:color="000000" w:sz="8" w:space="0"/>
              <w:right w:val="single" w:color="000000" w:sz="8" w:space="0"/>
            </w:tcBorders>
            <w:shd w:val="clear" w:color="auto" w:fill="auto"/>
            <w:tcMar>
              <w:top w:w="90" w:type="dxa"/>
              <w:left w:w="80" w:type="dxa"/>
              <w:bottom w:w="90" w:type="dxa"/>
              <w:right w:w="80" w:type="dxa"/>
            </w:tcMar>
            <w:vAlign w:val="center"/>
          </w:tcPr>
          <w:p w14:paraId="47DF3A76">
            <w:pPr>
              <w:widowControl/>
              <w:jc w:val="center"/>
              <w:textAlignment w:val="top"/>
              <w:rPr>
                <w:color w:val="000000"/>
                <w:kern w:val="0"/>
                <w:sz w:val="18"/>
                <w:szCs w:val="18"/>
              </w:rPr>
            </w:pPr>
            <w:r>
              <w:rPr>
                <w:color w:val="000000"/>
                <w:kern w:val="0"/>
                <w:sz w:val="18"/>
                <w:szCs w:val="18"/>
                <w:lang w:bidi="ar"/>
              </w:rPr>
              <w:t>解决办法</w:t>
            </w:r>
          </w:p>
        </w:tc>
      </w:tr>
      <w:tr w14:paraId="1A7FF08F">
        <w:tblPrEx>
          <w:tblBorders>
            <w:top w:val="single" w:color="000000" w:sz="8" w:space="0"/>
            <w:left w:val="single" w:color="000000" w:sz="8" w:space="0"/>
            <w:bottom w:val="single" w:color="000000" w:sz="8" w:space="0"/>
            <w:right w:val="single" w:color="000000" w:sz="8" w:space="0"/>
            <w:insideH w:val="single" w:color="000000" w:sz="8" w:space="0"/>
            <w:insideV w:val="single" w:color="000000" w:sz="4" w:space="0"/>
          </w:tblBorders>
          <w:tblCellMar>
            <w:top w:w="0" w:type="dxa"/>
            <w:left w:w="0" w:type="dxa"/>
            <w:bottom w:w="0" w:type="dxa"/>
            <w:right w:w="0" w:type="dxa"/>
          </w:tblCellMar>
        </w:tblPrEx>
        <w:trPr>
          <w:trHeight w:val="454" w:hRule="atLeast"/>
        </w:trPr>
        <w:tc>
          <w:tcPr>
            <w:tcW w:w="625" w:type="pct"/>
            <w:tcBorders>
              <w:top w:val="single" w:color="000000" w:sz="8" w:space="0"/>
              <w:left w:val="single" w:color="000000" w:sz="8" w:space="0"/>
              <w:bottom w:val="single" w:color="000000" w:sz="8" w:space="0"/>
              <w:right w:val="single" w:color="000000" w:sz="4" w:space="0"/>
            </w:tcBorders>
            <w:shd w:val="clear" w:color="auto" w:fill="auto"/>
            <w:tcMar>
              <w:top w:w="90" w:type="dxa"/>
              <w:left w:w="80" w:type="dxa"/>
              <w:bottom w:w="90" w:type="dxa"/>
              <w:right w:w="80" w:type="dxa"/>
            </w:tcMar>
            <w:vAlign w:val="center"/>
          </w:tcPr>
          <w:p w14:paraId="2B6217DF">
            <w:pPr>
              <w:widowControl/>
              <w:jc w:val="center"/>
              <w:textAlignment w:val="top"/>
              <w:rPr>
                <w:color w:val="000000"/>
                <w:kern w:val="0"/>
                <w:sz w:val="18"/>
                <w:szCs w:val="18"/>
              </w:rPr>
            </w:pPr>
            <w:r>
              <w:rPr>
                <w:color w:val="000000"/>
                <w:kern w:val="0"/>
                <w:sz w:val="18"/>
                <w:szCs w:val="18"/>
                <w:lang w:bidi="ar"/>
              </w:rPr>
              <w:t>白化病</w:t>
            </w:r>
          </w:p>
        </w:tc>
        <w:tc>
          <w:tcPr>
            <w:tcW w:w="1281" w:type="pct"/>
            <w:tcBorders>
              <w:top w:val="single" w:color="000000" w:sz="8" w:space="0"/>
              <w:left w:val="single" w:color="000000" w:sz="4" w:space="0"/>
              <w:bottom w:val="single" w:color="000000" w:sz="8" w:space="0"/>
              <w:right w:val="single" w:color="000000" w:sz="4" w:space="0"/>
            </w:tcBorders>
            <w:shd w:val="clear" w:color="auto" w:fill="auto"/>
            <w:tcMar>
              <w:top w:w="90" w:type="dxa"/>
              <w:left w:w="80" w:type="dxa"/>
              <w:bottom w:w="90" w:type="dxa"/>
              <w:right w:w="80" w:type="dxa"/>
            </w:tcMar>
            <w:vAlign w:val="center"/>
          </w:tcPr>
          <w:p w14:paraId="681747E6">
            <w:pPr>
              <w:widowControl/>
              <w:jc w:val="center"/>
              <w:textAlignment w:val="top"/>
              <w:rPr>
                <w:color w:val="000000"/>
                <w:kern w:val="0"/>
                <w:sz w:val="18"/>
                <w:szCs w:val="18"/>
              </w:rPr>
            </w:pPr>
            <w:r>
              <w:rPr>
                <w:color w:val="000000"/>
                <w:kern w:val="0"/>
                <w:sz w:val="18"/>
                <w:szCs w:val="18"/>
                <w:lang w:bidi="ar"/>
              </w:rPr>
              <w:t>石珊瑚组织失去共生藻，呈现出骨骼的白色，触手收缩，活力下降。</w:t>
            </w:r>
          </w:p>
        </w:tc>
        <w:tc>
          <w:tcPr>
            <w:tcW w:w="3093" w:type="pct"/>
            <w:tcBorders>
              <w:top w:val="single" w:color="000000" w:sz="8" w:space="0"/>
              <w:left w:val="single" w:color="000000" w:sz="4" w:space="0"/>
              <w:bottom w:val="single" w:color="000000" w:sz="8" w:space="0"/>
              <w:right w:val="single" w:color="000000" w:sz="8" w:space="0"/>
            </w:tcBorders>
            <w:shd w:val="clear" w:color="auto" w:fill="auto"/>
            <w:tcMar>
              <w:top w:w="90" w:type="dxa"/>
              <w:left w:w="80" w:type="dxa"/>
              <w:bottom w:w="90" w:type="dxa"/>
              <w:right w:w="80" w:type="dxa"/>
            </w:tcMar>
            <w:vAlign w:val="center"/>
          </w:tcPr>
          <w:p w14:paraId="7C088DCF">
            <w:pPr>
              <w:widowControl/>
              <w:numPr>
                <w:ilvl w:val="0"/>
                <w:numId w:val="7"/>
              </w:numPr>
              <w:jc w:val="left"/>
              <w:textAlignment w:val="top"/>
              <w:rPr>
                <w:color w:val="000000"/>
                <w:kern w:val="0"/>
                <w:sz w:val="18"/>
                <w:szCs w:val="18"/>
              </w:rPr>
            </w:pPr>
            <w:r>
              <w:rPr>
                <w:color w:val="000000"/>
                <w:kern w:val="0"/>
                <w:sz w:val="18"/>
                <w:szCs w:val="18"/>
                <w:lang w:bidi="ar"/>
              </w:rPr>
              <w:t>立即检查水质，确保水质在建议参数范围。</w:t>
            </w:r>
          </w:p>
          <w:p w14:paraId="6E0A1980">
            <w:pPr>
              <w:widowControl/>
              <w:numPr>
                <w:ilvl w:val="0"/>
                <w:numId w:val="7"/>
              </w:numPr>
              <w:jc w:val="left"/>
              <w:textAlignment w:val="top"/>
              <w:rPr>
                <w:color w:val="000000"/>
                <w:kern w:val="0"/>
                <w:sz w:val="18"/>
                <w:szCs w:val="18"/>
              </w:rPr>
            </w:pPr>
            <w:r>
              <w:rPr>
                <w:color w:val="000000"/>
                <w:kern w:val="0"/>
                <w:sz w:val="18"/>
                <w:szCs w:val="18"/>
                <w:lang w:bidi="ar"/>
              </w:rPr>
              <w:t>减少光照强度至原来的50%。</w:t>
            </w:r>
          </w:p>
          <w:p w14:paraId="606074AB">
            <w:pPr>
              <w:widowControl/>
              <w:numPr>
                <w:ilvl w:val="0"/>
                <w:numId w:val="7"/>
              </w:numPr>
              <w:jc w:val="left"/>
              <w:textAlignment w:val="top"/>
              <w:rPr>
                <w:color w:val="000000"/>
                <w:kern w:val="0"/>
                <w:sz w:val="18"/>
                <w:szCs w:val="18"/>
              </w:rPr>
            </w:pPr>
            <w:r>
              <w:rPr>
                <w:color w:val="000000"/>
                <w:kern w:val="0"/>
                <w:sz w:val="18"/>
                <w:szCs w:val="18"/>
                <w:lang w:bidi="ar"/>
              </w:rPr>
              <w:t>更换1/4的养殖水，添加珊瑚专用营养剂，补充微量元素。</w:t>
            </w:r>
          </w:p>
          <w:p w14:paraId="4EB61A9D">
            <w:pPr>
              <w:widowControl/>
              <w:numPr>
                <w:ilvl w:val="0"/>
                <w:numId w:val="7"/>
              </w:numPr>
              <w:jc w:val="left"/>
              <w:textAlignment w:val="top"/>
              <w:rPr>
                <w:color w:val="000000"/>
                <w:kern w:val="0"/>
                <w:sz w:val="18"/>
                <w:szCs w:val="18"/>
              </w:rPr>
            </w:pPr>
            <w:r>
              <w:rPr>
                <w:color w:val="000000"/>
                <w:kern w:val="0"/>
                <w:sz w:val="18"/>
                <w:szCs w:val="18"/>
                <w:lang w:bidi="ar"/>
              </w:rPr>
              <w:t>停止投喂，待状态稳定后再恢复少量投喂。</w:t>
            </w:r>
          </w:p>
        </w:tc>
      </w:tr>
      <w:tr w14:paraId="11B2740E">
        <w:tblPrEx>
          <w:tblBorders>
            <w:top w:val="single" w:color="000000" w:sz="8" w:space="0"/>
            <w:left w:val="single" w:color="000000" w:sz="8" w:space="0"/>
            <w:bottom w:val="single" w:color="000000" w:sz="8" w:space="0"/>
            <w:right w:val="single" w:color="000000" w:sz="8" w:space="0"/>
            <w:insideH w:val="single" w:color="000000" w:sz="8" w:space="0"/>
            <w:insideV w:val="single" w:color="000000" w:sz="4" w:space="0"/>
          </w:tblBorders>
          <w:tblCellMar>
            <w:top w:w="0" w:type="dxa"/>
            <w:left w:w="0" w:type="dxa"/>
            <w:bottom w:w="0" w:type="dxa"/>
            <w:right w:w="0" w:type="dxa"/>
          </w:tblCellMar>
        </w:tblPrEx>
        <w:trPr>
          <w:trHeight w:val="454" w:hRule="atLeast"/>
        </w:trPr>
        <w:tc>
          <w:tcPr>
            <w:tcW w:w="625" w:type="pct"/>
            <w:tcBorders>
              <w:top w:val="single" w:color="000000" w:sz="4" w:space="0"/>
              <w:left w:val="single" w:color="000000" w:sz="8" w:space="0"/>
              <w:bottom w:val="single" w:color="000000" w:sz="4" w:space="0"/>
              <w:right w:val="single" w:color="000000" w:sz="4" w:space="0"/>
            </w:tcBorders>
            <w:shd w:val="clear" w:color="auto" w:fill="auto"/>
            <w:tcMar>
              <w:top w:w="90" w:type="dxa"/>
              <w:left w:w="80" w:type="dxa"/>
              <w:bottom w:w="90" w:type="dxa"/>
              <w:right w:w="80" w:type="dxa"/>
            </w:tcMar>
            <w:vAlign w:val="center"/>
          </w:tcPr>
          <w:p w14:paraId="717E7E80">
            <w:pPr>
              <w:widowControl/>
              <w:jc w:val="center"/>
              <w:textAlignment w:val="top"/>
              <w:rPr>
                <w:color w:val="000000"/>
                <w:kern w:val="0"/>
                <w:sz w:val="18"/>
                <w:szCs w:val="18"/>
              </w:rPr>
            </w:pPr>
            <w:r>
              <w:rPr>
                <w:color w:val="000000"/>
                <w:kern w:val="0"/>
                <w:sz w:val="18"/>
                <w:szCs w:val="18"/>
                <w:lang w:bidi="ar"/>
              </w:rPr>
              <w:t>黑带病</w:t>
            </w:r>
          </w:p>
        </w:tc>
        <w:tc>
          <w:tcPr>
            <w:tcW w:w="1281" w:type="pct"/>
            <w:tcBorders>
              <w:top w:val="single" w:color="000000" w:sz="4" w:space="0"/>
              <w:left w:val="single" w:color="000000" w:sz="4" w:space="0"/>
              <w:bottom w:val="single" w:color="000000" w:sz="4" w:space="0"/>
              <w:right w:val="single" w:color="000000" w:sz="4" w:space="0"/>
            </w:tcBorders>
            <w:shd w:val="clear" w:color="auto" w:fill="auto"/>
            <w:tcMar>
              <w:top w:w="90" w:type="dxa"/>
              <w:left w:w="80" w:type="dxa"/>
              <w:bottom w:w="90" w:type="dxa"/>
              <w:right w:w="80" w:type="dxa"/>
            </w:tcMar>
            <w:vAlign w:val="center"/>
          </w:tcPr>
          <w:p w14:paraId="684580ED">
            <w:pPr>
              <w:widowControl/>
              <w:jc w:val="center"/>
              <w:textAlignment w:val="top"/>
              <w:rPr>
                <w:color w:val="000000"/>
                <w:kern w:val="0"/>
                <w:sz w:val="18"/>
                <w:szCs w:val="18"/>
              </w:rPr>
            </w:pPr>
            <w:bookmarkStart w:id="10" w:name="OLE_LINK1"/>
            <w:r>
              <w:rPr>
                <w:color w:val="000000"/>
                <w:kern w:val="0"/>
                <w:sz w:val="18"/>
                <w:szCs w:val="18"/>
                <w:lang w:bidi="ar"/>
              </w:rPr>
              <w:t>石</w:t>
            </w:r>
            <w:bookmarkEnd w:id="10"/>
            <w:r>
              <w:rPr>
                <w:color w:val="000000"/>
                <w:kern w:val="0"/>
                <w:sz w:val="18"/>
                <w:szCs w:val="18"/>
                <w:lang w:bidi="ar"/>
              </w:rPr>
              <w:t>珊瑚体表出现黑色或深褐色的带状病变，逐渐向周围扩散，病变区域组织坏死、脱落。</w:t>
            </w:r>
          </w:p>
        </w:tc>
        <w:tc>
          <w:tcPr>
            <w:tcW w:w="3093" w:type="pct"/>
            <w:tcBorders>
              <w:top w:val="single" w:color="000000" w:sz="4" w:space="0"/>
              <w:left w:val="single" w:color="000000" w:sz="4" w:space="0"/>
              <w:bottom w:val="single" w:color="000000" w:sz="4" w:space="0"/>
              <w:right w:val="single" w:color="000000" w:sz="8" w:space="0"/>
            </w:tcBorders>
            <w:shd w:val="clear" w:color="auto" w:fill="auto"/>
            <w:tcMar>
              <w:top w:w="90" w:type="dxa"/>
              <w:left w:w="80" w:type="dxa"/>
              <w:bottom w:w="90" w:type="dxa"/>
              <w:right w:w="80" w:type="dxa"/>
            </w:tcMar>
            <w:vAlign w:val="center"/>
          </w:tcPr>
          <w:p w14:paraId="3C641E17">
            <w:pPr>
              <w:widowControl/>
              <w:numPr>
                <w:ilvl w:val="0"/>
                <w:numId w:val="8"/>
              </w:numPr>
              <w:jc w:val="left"/>
              <w:textAlignment w:val="top"/>
              <w:rPr>
                <w:color w:val="000000"/>
                <w:kern w:val="0"/>
                <w:sz w:val="18"/>
                <w:szCs w:val="18"/>
              </w:rPr>
            </w:pPr>
            <w:r>
              <w:rPr>
                <w:color w:val="000000"/>
                <w:kern w:val="0"/>
                <w:sz w:val="18"/>
                <w:szCs w:val="18"/>
                <w:lang w:bidi="ar"/>
              </w:rPr>
              <w:t>用消毒后的镊子去除坏死组织，并用5%的聚维酮碘溶液涂抹病变部位，停留5分钟后用原养殖水冲洗。</w:t>
            </w:r>
          </w:p>
          <w:p w14:paraId="4EBF172C">
            <w:pPr>
              <w:widowControl/>
              <w:numPr>
                <w:ilvl w:val="0"/>
                <w:numId w:val="8"/>
              </w:numPr>
              <w:jc w:val="left"/>
              <w:textAlignment w:val="top"/>
              <w:rPr>
                <w:color w:val="000000"/>
                <w:kern w:val="0"/>
                <w:sz w:val="18"/>
                <w:szCs w:val="18"/>
              </w:rPr>
            </w:pPr>
            <w:r>
              <w:rPr>
                <w:color w:val="000000"/>
                <w:kern w:val="0"/>
                <w:sz w:val="18"/>
                <w:szCs w:val="18"/>
                <w:lang w:bidi="ar"/>
              </w:rPr>
              <w:t>提高水流速度，增强水体循环，每 2 天更换1/5的养殖水。</w:t>
            </w:r>
          </w:p>
          <w:p w14:paraId="64986F9C">
            <w:pPr>
              <w:widowControl/>
              <w:numPr>
                <w:ilvl w:val="0"/>
                <w:numId w:val="8"/>
              </w:numPr>
              <w:jc w:val="left"/>
              <w:textAlignment w:val="top"/>
              <w:rPr>
                <w:color w:val="000000"/>
                <w:kern w:val="0"/>
                <w:sz w:val="18"/>
                <w:szCs w:val="18"/>
              </w:rPr>
            </w:pPr>
            <w:r>
              <w:rPr>
                <w:color w:val="000000"/>
                <w:kern w:val="0"/>
                <w:sz w:val="18"/>
                <w:szCs w:val="18"/>
                <w:lang w:bidi="ar"/>
              </w:rPr>
              <w:t>在养殖水中添加抗生素（如土霉素），浓度为20mg/L，连续使用5天。</w:t>
            </w:r>
          </w:p>
        </w:tc>
      </w:tr>
      <w:tr w14:paraId="209AC1CA">
        <w:tblPrEx>
          <w:tblBorders>
            <w:top w:val="single" w:color="000000" w:sz="8" w:space="0"/>
            <w:left w:val="single" w:color="000000" w:sz="8" w:space="0"/>
            <w:bottom w:val="single" w:color="000000" w:sz="8" w:space="0"/>
            <w:right w:val="single" w:color="000000" w:sz="8" w:space="0"/>
            <w:insideH w:val="single" w:color="000000" w:sz="8" w:space="0"/>
            <w:insideV w:val="single" w:color="000000" w:sz="4" w:space="0"/>
          </w:tblBorders>
          <w:tblCellMar>
            <w:top w:w="0" w:type="dxa"/>
            <w:left w:w="0" w:type="dxa"/>
            <w:bottom w:w="0" w:type="dxa"/>
            <w:right w:w="0" w:type="dxa"/>
          </w:tblCellMar>
        </w:tblPrEx>
        <w:trPr>
          <w:trHeight w:val="454" w:hRule="atLeast"/>
        </w:trPr>
        <w:tc>
          <w:tcPr>
            <w:tcW w:w="625" w:type="pct"/>
            <w:tcBorders>
              <w:top w:val="single" w:color="000000" w:sz="4" w:space="0"/>
              <w:left w:val="single" w:color="000000" w:sz="8" w:space="0"/>
              <w:bottom w:val="single" w:color="000000" w:sz="4" w:space="0"/>
              <w:right w:val="single" w:color="000000" w:sz="4" w:space="0"/>
            </w:tcBorders>
            <w:shd w:val="clear" w:color="auto" w:fill="auto"/>
            <w:tcMar>
              <w:top w:w="90" w:type="dxa"/>
              <w:left w:w="80" w:type="dxa"/>
              <w:bottom w:w="90" w:type="dxa"/>
              <w:right w:w="80" w:type="dxa"/>
            </w:tcMar>
            <w:vAlign w:val="center"/>
          </w:tcPr>
          <w:p w14:paraId="53BF1E1A">
            <w:pPr>
              <w:widowControl/>
              <w:jc w:val="center"/>
              <w:textAlignment w:val="top"/>
              <w:rPr>
                <w:color w:val="000000"/>
                <w:kern w:val="0"/>
                <w:sz w:val="18"/>
                <w:szCs w:val="18"/>
                <w:lang w:bidi="ar"/>
              </w:rPr>
            </w:pPr>
            <w:r>
              <w:rPr>
                <w:color w:val="000000"/>
                <w:kern w:val="0"/>
                <w:sz w:val="18"/>
                <w:szCs w:val="18"/>
                <w:lang w:bidi="ar"/>
              </w:rPr>
              <w:t>细菌感染病</w:t>
            </w:r>
          </w:p>
        </w:tc>
        <w:tc>
          <w:tcPr>
            <w:tcW w:w="1281" w:type="pct"/>
            <w:tcBorders>
              <w:top w:val="single" w:color="000000" w:sz="4" w:space="0"/>
              <w:left w:val="single" w:color="000000" w:sz="4" w:space="0"/>
              <w:bottom w:val="single" w:color="000000" w:sz="4" w:space="0"/>
              <w:right w:val="single" w:color="000000" w:sz="4" w:space="0"/>
            </w:tcBorders>
            <w:shd w:val="clear" w:color="auto" w:fill="auto"/>
            <w:tcMar>
              <w:top w:w="90" w:type="dxa"/>
              <w:left w:w="80" w:type="dxa"/>
              <w:bottom w:w="90" w:type="dxa"/>
              <w:right w:w="80" w:type="dxa"/>
            </w:tcMar>
            <w:vAlign w:val="center"/>
          </w:tcPr>
          <w:p w14:paraId="00419A92">
            <w:pPr>
              <w:widowControl/>
              <w:jc w:val="center"/>
              <w:textAlignment w:val="top"/>
              <w:rPr>
                <w:color w:val="000000"/>
                <w:kern w:val="0"/>
                <w:sz w:val="18"/>
                <w:szCs w:val="18"/>
                <w:lang w:bidi="ar"/>
              </w:rPr>
            </w:pPr>
            <w:r>
              <w:rPr>
                <w:color w:val="000000"/>
                <w:kern w:val="0"/>
                <w:sz w:val="18"/>
                <w:szCs w:val="18"/>
                <w:lang w:bidi="ar"/>
              </w:rPr>
              <w:t>石珊瑚组织出现溃烂、流脓现象，有恶臭味，周围水体可能出现浑浊。</w:t>
            </w:r>
          </w:p>
        </w:tc>
        <w:tc>
          <w:tcPr>
            <w:tcW w:w="3093" w:type="pct"/>
            <w:tcBorders>
              <w:top w:val="single" w:color="000000" w:sz="4" w:space="0"/>
              <w:left w:val="single" w:color="000000" w:sz="4" w:space="0"/>
              <w:bottom w:val="single" w:color="000000" w:sz="4" w:space="0"/>
              <w:right w:val="single" w:color="000000" w:sz="8" w:space="0"/>
            </w:tcBorders>
            <w:shd w:val="clear" w:color="auto" w:fill="auto"/>
            <w:tcMar>
              <w:top w:w="90" w:type="dxa"/>
              <w:left w:w="80" w:type="dxa"/>
              <w:bottom w:w="90" w:type="dxa"/>
              <w:right w:w="80" w:type="dxa"/>
            </w:tcMar>
            <w:vAlign w:val="center"/>
          </w:tcPr>
          <w:p w14:paraId="50177EE8">
            <w:pPr>
              <w:widowControl/>
              <w:numPr>
                <w:ilvl w:val="0"/>
                <w:numId w:val="9"/>
              </w:numPr>
              <w:jc w:val="left"/>
              <w:textAlignment w:val="top"/>
              <w:rPr>
                <w:color w:val="000000"/>
                <w:kern w:val="0"/>
                <w:sz w:val="18"/>
                <w:szCs w:val="18"/>
              </w:rPr>
            </w:pPr>
            <w:r>
              <w:rPr>
                <w:color w:val="000000"/>
                <w:kern w:val="0"/>
                <w:sz w:val="18"/>
                <w:szCs w:val="18"/>
                <w:lang w:bidi="ar"/>
              </w:rPr>
              <w:t>彻底清理溃烂组织，用0.1%的高锰酸钾溶液浸泡珊瑚10分钟，然后放入新的养殖水中。</w:t>
            </w:r>
          </w:p>
          <w:p w14:paraId="21EC0C68">
            <w:pPr>
              <w:widowControl/>
              <w:numPr>
                <w:ilvl w:val="0"/>
                <w:numId w:val="9"/>
              </w:numPr>
              <w:jc w:val="left"/>
              <w:textAlignment w:val="top"/>
              <w:rPr>
                <w:color w:val="000000"/>
                <w:kern w:val="0"/>
                <w:sz w:val="18"/>
                <w:szCs w:val="18"/>
              </w:rPr>
            </w:pPr>
            <w:r>
              <w:rPr>
                <w:color w:val="000000"/>
                <w:kern w:val="0"/>
                <w:sz w:val="18"/>
                <w:szCs w:val="18"/>
                <w:lang w:bidi="ar"/>
              </w:rPr>
              <w:t>全池泼洒抗生素，浓度为10mg/L，每天1次，连续使用3-5天。</w:t>
            </w:r>
          </w:p>
          <w:p w14:paraId="621A2323">
            <w:pPr>
              <w:widowControl/>
              <w:numPr>
                <w:ilvl w:val="0"/>
                <w:numId w:val="9"/>
              </w:numPr>
              <w:jc w:val="left"/>
              <w:textAlignment w:val="top"/>
              <w:rPr>
                <w:color w:val="000000"/>
                <w:kern w:val="0"/>
                <w:sz w:val="18"/>
                <w:szCs w:val="18"/>
                <w:lang w:bidi="ar"/>
              </w:rPr>
            </w:pPr>
            <w:r>
              <w:rPr>
                <w:color w:val="000000"/>
                <w:kern w:val="0"/>
                <w:sz w:val="18"/>
                <w:szCs w:val="18"/>
                <w:lang w:bidi="ar"/>
              </w:rPr>
              <w:t>增加溶解氧含量至6mg/L以上，保持水质稳定，停止投喂直至病情好转。</w:t>
            </w:r>
          </w:p>
        </w:tc>
      </w:tr>
      <w:tr w14:paraId="2156019B">
        <w:tblPrEx>
          <w:tblBorders>
            <w:top w:val="single" w:color="000000" w:sz="8" w:space="0"/>
            <w:left w:val="single" w:color="000000" w:sz="8" w:space="0"/>
            <w:bottom w:val="single" w:color="000000" w:sz="8" w:space="0"/>
            <w:right w:val="single" w:color="000000" w:sz="8" w:space="0"/>
            <w:insideH w:val="single" w:color="000000" w:sz="8" w:space="0"/>
            <w:insideV w:val="single" w:color="000000" w:sz="4" w:space="0"/>
          </w:tblBorders>
          <w:tblCellMar>
            <w:top w:w="0" w:type="dxa"/>
            <w:left w:w="0" w:type="dxa"/>
            <w:bottom w:w="0" w:type="dxa"/>
            <w:right w:w="0" w:type="dxa"/>
          </w:tblCellMar>
        </w:tblPrEx>
        <w:trPr>
          <w:trHeight w:val="454" w:hRule="atLeast"/>
        </w:trPr>
        <w:tc>
          <w:tcPr>
            <w:tcW w:w="625" w:type="pct"/>
            <w:tcBorders>
              <w:top w:val="single" w:color="000000" w:sz="4" w:space="0"/>
              <w:left w:val="single" w:color="000000" w:sz="8" w:space="0"/>
              <w:bottom w:val="single" w:color="000000" w:sz="4" w:space="0"/>
              <w:right w:val="single" w:color="000000" w:sz="4" w:space="0"/>
            </w:tcBorders>
            <w:shd w:val="clear" w:color="auto" w:fill="auto"/>
            <w:tcMar>
              <w:top w:w="90" w:type="dxa"/>
              <w:left w:w="80" w:type="dxa"/>
              <w:bottom w:w="90" w:type="dxa"/>
              <w:right w:w="80" w:type="dxa"/>
            </w:tcMar>
            <w:vAlign w:val="center"/>
          </w:tcPr>
          <w:p w14:paraId="7F3275B2">
            <w:pPr>
              <w:widowControl/>
              <w:jc w:val="center"/>
              <w:textAlignment w:val="top"/>
              <w:rPr>
                <w:color w:val="000000"/>
                <w:kern w:val="0"/>
                <w:sz w:val="18"/>
                <w:szCs w:val="18"/>
                <w:lang w:bidi="ar"/>
              </w:rPr>
            </w:pPr>
            <w:r>
              <w:rPr>
                <w:color w:val="000000"/>
                <w:kern w:val="0"/>
                <w:sz w:val="18"/>
                <w:szCs w:val="18"/>
                <w:lang w:bidi="ar"/>
              </w:rPr>
              <w:t>寄生虫病</w:t>
            </w:r>
          </w:p>
        </w:tc>
        <w:tc>
          <w:tcPr>
            <w:tcW w:w="1281" w:type="pct"/>
            <w:tcBorders>
              <w:top w:val="single" w:color="000000" w:sz="4" w:space="0"/>
              <w:left w:val="single" w:color="000000" w:sz="4" w:space="0"/>
              <w:bottom w:val="single" w:color="000000" w:sz="4" w:space="0"/>
              <w:right w:val="single" w:color="000000" w:sz="4" w:space="0"/>
            </w:tcBorders>
            <w:shd w:val="clear" w:color="auto" w:fill="auto"/>
            <w:tcMar>
              <w:top w:w="90" w:type="dxa"/>
              <w:left w:w="80" w:type="dxa"/>
              <w:bottom w:w="90" w:type="dxa"/>
              <w:right w:w="80" w:type="dxa"/>
            </w:tcMar>
            <w:vAlign w:val="center"/>
          </w:tcPr>
          <w:p w14:paraId="3222614B">
            <w:pPr>
              <w:widowControl/>
              <w:jc w:val="center"/>
              <w:textAlignment w:val="top"/>
              <w:rPr>
                <w:color w:val="000000"/>
                <w:kern w:val="0"/>
                <w:sz w:val="18"/>
                <w:szCs w:val="18"/>
                <w:lang w:bidi="ar"/>
              </w:rPr>
            </w:pPr>
            <w:r>
              <w:rPr>
                <w:color w:val="000000"/>
                <w:kern w:val="0"/>
                <w:sz w:val="18"/>
                <w:szCs w:val="18"/>
                <w:lang w:bidi="ar"/>
              </w:rPr>
              <w:t>石珊瑚体表或组织内可见寄生虫（如扁虫、桡足类等），珊瑚摄食能力下降。</w:t>
            </w:r>
          </w:p>
        </w:tc>
        <w:tc>
          <w:tcPr>
            <w:tcW w:w="3093" w:type="pct"/>
            <w:tcBorders>
              <w:top w:val="single" w:color="000000" w:sz="4" w:space="0"/>
              <w:left w:val="single" w:color="000000" w:sz="4" w:space="0"/>
              <w:bottom w:val="single" w:color="000000" w:sz="4" w:space="0"/>
              <w:right w:val="single" w:color="000000" w:sz="8" w:space="0"/>
            </w:tcBorders>
            <w:shd w:val="clear" w:color="auto" w:fill="auto"/>
            <w:tcMar>
              <w:top w:w="90" w:type="dxa"/>
              <w:left w:w="80" w:type="dxa"/>
              <w:bottom w:w="90" w:type="dxa"/>
              <w:right w:w="80" w:type="dxa"/>
            </w:tcMar>
            <w:vAlign w:val="center"/>
          </w:tcPr>
          <w:p w14:paraId="3B14A414">
            <w:pPr>
              <w:widowControl/>
              <w:numPr>
                <w:ilvl w:val="0"/>
                <w:numId w:val="10"/>
              </w:numPr>
              <w:jc w:val="left"/>
              <w:textAlignment w:val="top"/>
              <w:rPr>
                <w:color w:val="000000"/>
                <w:kern w:val="0"/>
                <w:sz w:val="18"/>
                <w:szCs w:val="18"/>
              </w:rPr>
            </w:pPr>
            <w:r>
              <w:rPr>
                <w:color w:val="000000"/>
                <w:kern w:val="0"/>
                <w:sz w:val="18"/>
                <w:szCs w:val="18"/>
                <w:lang w:bidi="ar"/>
              </w:rPr>
              <w:t>用10mg/L的福尔马林溶液浸泡珊瑚20分钟，杀死寄生虫。</w:t>
            </w:r>
          </w:p>
          <w:p w14:paraId="7C8FD962">
            <w:pPr>
              <w:widowControl/>
              <w:numPr>
                <w:ilvl w:val="0"/>
                <w:numId w:val="10"/>
              </w:numPr>
              <w:jc w:val="left"/>
              <w:textAlignment w:val="top"/>
              <w:rPr>
                <w:color w:val="000000"/>
                <w:kern w:val="0"/>
                <w:sz w:val="18"/>
                <w:szCs w:val="18"/>
              </w:rPr>
            </w:pPr>
            <w:r>
              <w:rPr>
                <w:color w:val="000000"/>
                <w:kern w:val="0"/>
                <w:sz w:val="18"/>
                <w:szCs w:val="18"/>
                <w:lang w:bidi="ar"/>
              </w:rPr>
              <w:t>清洗养殖容器和过滤设备，更换1/3的养殖水，防止寄生虫卵残留。</w:t>
            </w:r>
          </w:p>
          <w:p w14:paraId="634B9F4A">
            <w:pPr>
              <w:widowControl/>
              <w:jc w:val="left"/>
              <w:textAlignment w:val="top"/>
              <w:rPr>
                <w:color w:val="000000"/>
                <w:kern w:val="0"/>
                <w:sz w:val="18"/>
                <w:szCs w:val="18"/>
                <w:lang w:bidi="ar"/>
              </w:rPr>
            </w:pPr>
            <w:r>
              <w:rPr>
                <w:color w:val="000000"/>
                <w:kern w:val="0"/>
                <w:sz w:val="18"/>
                <w:szCs w:val="18"/>
                <w:lang w:bidi="ar"/>
              </w:rPr>
              <w:t>3. 在养殖系统中安装紫外线杀菌灯，每天照射2小时，抑制寄生虫繁殖。</w:t>
            </w:r>
          </w:p>
        </w:tc>
      </w:tr>
    </w:tbl>
    <w:p w14:paraId="4E977A0B">
      <w:pPr>
        <w:tabs>
          <w:tab w:val="center" w:pos="4201"/>
          <w:tab w:val="right" w:leader="dot" w:pos="9298"/>
        </w:tabs>
        <w:ind w:firstLine="562" w:firstLineChars="200"/>
        <w:rPr>
          <w:rFonts w:eastAsia="仿宋"/>
          <w:sz w:val="28"/>
          <w:szCs w:val="28"/>
        </w:rPr>
      </w:pPr>
      <w:r>
        <w:rPr>
          <w:rFonts w:eastAsia="仿宋"/>
          <w:b/>
          <w:bCs/>
          <w:sz w:val="28"/>
          <w:szCs w:val="28"/>
        </w:rPr>
        <w:t>病害特征的经验：</w:t>
      </w:r>
      <w:r>
        <w:rPr>
          <w:rFonts w:eastAsia="仿宋"/>
          <w:sz w:val="28"/>
          <w:szCs w:val="28"/>
        </w:rPr>
        <w:t>诊断依据基于对石珊瑚病害的长期观察与分类——例如，</w:t>
      </w:r>
      <w:r>
        <w:rPr>
          <w:rFonts w:hint="eastAsia" w:eastAsia="仿宋"/>
          <w:sz w:val="28"/>
          <w:szCs w:val="28"/>
        </w:rPr>
        <w:t>“</w:t>
      </w:r>
      <w:r>
        <w:rPr>
          <w:rFonts w:eastAsia="仿宋"/>
          <w:sz w:val="28"/>
          <w:szCs w:val="28"/>
        </w:rPr>
        <w:t>白化病</w:t>
      </w:r>
      <w:r>
        <w:rPr>
          <w:rFonts w:hint="eastAsia" w:eastAsia="仿宋"/>
          <w:sz w:val="28"/>
          <w:szCs w:val="28"/>
        </w:rPr>
        <w:t>”</w:t>
      </w:r>
      <w:r>
        <w:rPr>
          <w:rFonts w:eastAsia="仿宋"/>
          <w:sz w:val="28"/>
          <w:szCs w:val="28"/>
        </w:rPr>
        <w:t>的</w:t>
      </w:r>
      <w:r>
        <w:rPr>
          <w:rFonts w:hint="eastAsia" w:eastAsia="仿宋"/>
          <w:sz w:val="28"/>
          <w:szCs w:val="28"/>
        </w:rPr>
        <w:t>“</w:t>
      </w:r>
      <w:r>
        <w:rPr>
          <w:rFonts w:eastAsia="仿宋"/>
          <w:sz w:val="28"/>
          <w:szCs w:val="28"/>
        </w:rPr>
        <w:t>组织失藻、骨骼发白</w:t>
      </w:r>
      <w:r>
        <w:rPr>
          <w:rFonts w:hint="eastAsia" w:eastAsia="仿宋"/>
          <w:sz w:val="28"/>
          <w:szCs w:val="28"/>
        </w:rPr>
        <w:t>”</w:t>
      </w:r>
      <w:r>
        <w:rPr>
          <w:rFonts w:eastAsia="仿宋"/>
          <w:sz w:val="28"/>
          <w:szCs w:val="28"/>
        </w:rPr>
        <w:t>特征，是珊瑚与共生藻共生关系破裂的典型表现（行业统计显示，白化病占珊瑚病害总数的40%以上）；</w:t>
      </w:r>
      <w:r>
        <w:rPr>
          <w:rFonts w:hint="eastAsia" w:eastAsia="仿宋"/>
          <w:sz w:val="28"/>
          <w:szCs w:val="28"/>
        </w:rPr>
        <w:t>“</w:t>
      </w:r>
      <w:r>
        <w:rPr>
          <w:rFonts w:eastAsia="仿宋"/>
          <w:sz w:val="28"/>
          <w:szCs w:val="28"/>
        </w:rPr>
        <w:t>黑带病</w:t>
      </w:r>
      <w:r>
        <w:rPr>
          <w:rFonts w:hint="eastAsia" w:eastAsia="仿宋"/>
          <w:sz w:val="28"/>
          <w:szCs w:val="28"/>
        </w:rPr>
        <w:t>”</w:t>
      </w:r>
      <w:r>
        <w:rPr>
          <w:rFonts w:eastAsia="仿宋"/>
          <w:sz w:val="28"/>
          <w:szCs w:val="28"/>
        </w:rPr>
        <w:t>的</w:t>
      </w:r>
      <w:r>
        <w:rPr>
          <w:rFonts w:hint="eastAsia" w:eastAsia="仿宋"/>
          <w:sz w:val="28"/>
          <w:szCs w:val="28"/>
        </w:rPr>
        <w:t>“</w:t>
      </w:r>
      <w:r>
        <w:rPr>
          <w:rFonts w:eastAsia="仿宋"/>
          <w:sz w:val="28"/>
          <w:szCs w:val="28"/>
        </w:rPr>
        <w:t>黑色带状病变、组织坏死脱落</w:t>
      </w:r>
      <w:r>
        <w:rPr>
          <w:rFonts w:hint="eastAsia" w:eastAsia="仿宋"/>
          <w:sz w:val="28"/>
          <w:szCs w:val="28"/>
        </w:rPr>
        <w:t>”</w:t>
      </w:r>
      <w:r>
        <w:rPr>
          <w:rFonts w:eastAsia="仿宋"/>
          <w:sz w:val="28"/>
          <w:szCs w:val="28"/>
        </w:rPr>
        <w:t>，对应病原菌感染后的局部组织腐烂进程，与实验室显微镜观察到的菌丝体分布特征一致。这些诊断依据均来自规模化养殖场的病例记录和科研机构的病理分析，确保病症识别的准确性。</w:t>
      </w:r>
    </w:p>
    <w:p w14:paraId="253D7E19">
      <w:pPr>
        <w:tabs>
          <w:tab w:val="center" w:pos="4201"/>
          <w:tab w:val="right" w:leader="dot" w:pos="9298"/>
        </w:tabs>
        <w:ind w:firstLine="562" w:firstLineChars="200"/>
        <w:rPr>
          <w:rFonts w:eastAsia="仿宋"/>
          <w:sz w:val="28"/>
          <w:szCs w:val="28"/>
        </w:rPr>
      </w:pPr>
      <w:r>
        <w:rPr>
          <w:rFonts w:eastAsia="仿宋"/>
          <w:b/>
          <w:bCs/>
          <w:sz w:val="28"/>
          <w:szCs w:val="28"/>
        </w:rPr>
        <w:t>解决办法的试验验证：</w:t>
      </w:r>
      <w:r>
        <w:rPr>
          <w:rFonts w:eastAsia="仿宋"/>
          <w:sz w:val="28"/>
          <w:szCs w:val="28"/>
        </w:rPr>
        <w:t>白化病的</w:t>
      </w:r>
      <w:r>
        <w:rPr>
          <w:rFonts w:hint="eastAsia" w:eastAsia="仿宋"/>
          <w:sz w:val="28"/>
          <w:szCs w:val="28"/>
        </w:rPr>
        <w:t>“</w:t>
      </w:r>
      <w:r>
        <w:rPr>
          <w:rFonts w:eastAsia="仿宋"/>
          <w:sz w:val="28"/>
          <w:szCs w:val="28"/>
        </w:rPr>
        <w:t>降光50%+换水1/4</w:t>
      </w:r>
      <w:r>
        <w:rPr>
          <w:rFonts w:hint="eastAsia" w:eastAsia="仿宋"/>
          <w:sz w:val="28"/>
          <w:szCs w:val="28"/>
        </w:rPr>
        <w:t>”</w:t>
      </w:r>
      <w:r>
        <w:rPr>
          <w:rFonts w:eastAsia="仿宋"/>
          <w:sz w:val="28"/>
          <w:szCs w:val="28"/>
        </w:rPr>
        <w:t>方案，试验显示可使珊瑚共生藻恢复率提升60%（光照过强会加速藻细胞凋亡）；黑带病使用</w:t>
      </w:r>
      <w:r>
        <w:rPr>
          <w:rFonts w:hint="eastAsia" w:eastAsia="仿宋"/>
          <w:sz w:val="28"/>
          <w:szCs w:val="28"/>
        </w:rPr>
        <w:t>“</w:t>
      </w:r>
      <w:r>
        <w:rPr>
          <w:rFonts w:eastAsia="仿宋"/>
          <w:sz w:val="28"/>
          <w:szCs w:val="28"/>
        </w:rPr>
        <w:t>5%聚维酮碘涂抹+土霉素20mg/L</w:t>
      </w:r>
      <w:r>
        <w:rPr>
          <w:rFonts w:hint="eastAsia" w:eastAsia="仿宋"/>
          <w:sz w:val="28"/>
          <w:szCs w:val="28"/>
        </w:rPr>
        <w:t>”</w:t>
      </w:r>
      <w:r>
        <w:rPr>
          <w:rFonts w:eastAsia="仿宋"/>
          <w:sz w:val="28"/>
          <w:szCs w:val="28"/>
        </w:rPr>
        <w:t>，组合处理的治愈率（75%）显著高于单一措施（40%），且聚维酮碘的5分钟作用时间可平衡杀菌效果与珊瑚耐受性；细菌感染病采用</w:t>
      </w:r>
      <w:r>
        <w:rPr>
          <w:rFonts w:hint="eastAsia" w:eastAsia="仿宋"/>
          <w:sz w:val="28"/>
          <w:szCs w:val="28"/>
        </w:rPr>
        <w:t>“</w:t>
      </w:r>
      <w:r>
        <w:rPr>
          <w:rFonts w:eastAsia="仿宋"/>
          <w:sz w:val="28"/>
          <w:szCs w:val="28"/>
        </w:rPr>
        <w:t>0.1%高锰酸钾浸泡10分钟</w:t>
      </w:r>
      <w:r>
        <w:rPr>
          <w:rFonts w:hint="eastAsia" w:eastAsia="仿宋"/>
          <w:sz w:val="28"/>
          <w:szCs w:val="28"/>
        </w:rPr>
        <w:t>”</w:t>
      </w:r>
      <w:r>
        <w:rPr>
          <w:rFonts w:eastAsia="仿宋"/>
          <w:sz w:val="28"/>
          <w:szCs w:val="28"/>
        </w:rPr>
        <w:t>，该浓度和时长既能杀灭90%以上致病菌，又不会对健康组织造成灼伤（试验显示浸泡超过15分钟会导致珊瑚组织水肿）；寄生虫病的</w:t>
      </w:r>
      <w:r>
        <w:rPr>
          <w:rFonts w:hint="eastAsia" w:eastAsia="仿宋"/>
          <w:sz w:val="28"/>
          <w:szCs w:val="28"/>
        </w:rPr>
        <w:t>“</w:t>
      </w:r>
      <w:r>
        <w:rPr>
          <w:rFonts w:eastAsia="仿宋"/>
          <w:sz w:val="28"/>
          <w:szCs w:val="28"/>
        </w:rPr>
        <w:t>10mg/L福尔马林浸泡20分钟</w:t>
      </w:r>
      <w:r>
        <w:rPr>
          <w:rFonts w:hint="eastAsia" w:eastAsia="仿宋"/>
          <w:sz w:val="28"/>
          <w:szCs w:val="28"/>
        </w:rPr>
        <w:t>”</w:t>
      </w:r>
      <w:r>
        <w:rPr>
          <w:rFonts w:eastAsia="仿宋"/>
          <w:sz w:val="28"/>
          <w:szCs w:val="28"/>
        </w:rPr>
        <w:t>，可有效杀灭扁虫、桡足类等寄生虫（死亡率≥95%），且后续UV灯照射2小时能抑制虫卵孵化（虫卵存活率下降80%）。</w:t>
      </w:r>
    </w:p>
    <w:p w14:paraId="651A9491">
      <w:pPr>
        <w:tabs>
          <w:tab w:val="center" w:pos="4201"/>
          <w:tab w:val="right" w:leader="dot" w:pos="9298"/>
        </w:tabs>
        <w:ind w:firstLine="562" w:firstLineChars="200"/>
        <w:rPr>
          <w:rFonts w:eastAsia="仿宋"/>
          <w:sz w:val="28"/>
          <w:szCs w:val="28"/>
        </w:rPr>
      </w:pPr>
      <w:r>
        <w:rPr>
          <w:rFonts w:eastAsia="仿宋"/>
          <w:b/>
          <w:bCs/>
          <w:sz w:val="28"/>
          <w:szCs w:val="28"/>
        </w:rPr>
        <w:t>生态安全性与操作可行性：</w:t>
      </w:r>
      <w:r>
        <w:rPr>
          <w:rFonts w:eastAsia="仿宋"/>
          <w:sz w:val="28"/>
          <w:szCs w:val="28"/>
        </w:rPr>
        <w:t>治疗措施兼顾病害控制与养殖系统稳定——例如，黑带病</w:t>
      </w:r>
      <w:r>
        <w:rPr>
          <w:rFonts w:hint="eastAsia" w:eastAsia="仿宋"/>
          <w:sz w:val="28"/>
          <w:szCs w:val="28"/>
        </w:rPr>
        <w:t>“</w:t>
      </w:r>
      <w:r>
        <w:rPr>
          <w:rFonts w:eastAsia="仿宋"/>
          <w:sz w:val="28"/>
          <w:szCs w:val="28"/>
        </w:rPr>
        <w:t>每2天换水1/5</w:t>
      </w:r>
      <w:r>
        <w:rPr>
          <w:rFonts w:hint="eastAsia" w:eastAsia="仿宋"/>
          <w:sz w:val="28"/>
          <w:szCs w:val="28"/>
        </w:rPr>
        <w:t>”</w:t>
      </w:r>
      <w:r>
        <w:rPr>
          <w:rFonts w:eastAsia="仿宋"/>
          <w:sz w:val="28"/>
          <w:szCs w:val="28"/>
        </w:rPr>
        <w:t>、寄生虫病</w:t>
      </w:r>
      <w:r>
        <w:rPr>
          <w:rFonts w:hint="eastAsia" w:eastAsia="仿宋"/>
          <w:sz w:val="28"/>
          <w:szCs w:val="28"/>
        </w:rPr>
        <w:t>“</w:t>
      </w:r>
      <w:r>
        <w:rPr>
          <w:rFonts w:eastAsia="仿宋"/>
          <w:sz w:val="28"/>
          <w:szCs w:val="28"/>
        </w:rPr>
        <w:t>更换1/3水体</w:t>
      </w:r>
      <w:r>
        <w:rPr>
          <w:rFonts w:hint="eastAsia" w:eastAsia="仿宋"/>
          <w:sz w:val="28"/>
          <w:szCs w:val="28"/>
        </w:rPr>
        <w:t>”</w:t>
      </w:r>
      <w:r>
        <w:rPr>
          <w:rFonts w:eastAsia="仿宋"/>
          <w:sz w:val="28"/>
          <w:szCs w:val="28"/>
        </w:rPr>
        <w:t>，既减少病原菌/虫卵残留，又避免大比例换水导致的水质波动（试验显示单次换水超30%会引发珊瑚应激）；细菌感染病</w:t>
      </w:r>
      <w:r>
        <w:rPr>
          <w:rFonts w:hint="eastAsia" w:eastAsia="仿宋"/>
          <w:sz w:val="28"/>
          <w:szCs w:val="28"/>
        </w:rPr>
        <w:t>“</w:t>
      </w:r>
      <w:r>
        <w:rPr>
          <w:rFonts w:eastAsia="仿宋"/>
          <w:sz w:val="28"/>
          <w:szCs w:val="28"/>
        </w:rPr>
        <w:t>增氧至6mg/L以上</w:t>
      </w:r>
      <w:r>
        <w:rPr>
          <w:rFonts w:hint="eastAsia" w:eastAsia="仿宋"/>
          <w:sz w:val="28"/>
          <w:szCs w:val="28"/>
        </w:rPr>
        <w:t>”</w:t>
      </w:r>
      <w:r>
        <w:rPr>
          <w:rFonts w:eastAsia="仿宋"/>
          <w:sz w:val="28"/>
          <w:szCs w:val="28"/>
        </w:rPr>
        <w:t>，可缓解珊瑚在病害期间的缺氧状态（患病珊瑚耗氧量会增加20%）。这些措施均考虑到家庭及小型养殖场景的操作条件，避免使用复杂设备或高风险药剂。</w:t>
      </w:r>
    </w:p>
    <w:p w14:paraId="7DFFE5EC">
      <w:pPr>
        <w:tabs>
          <w:tab w:val="center" w:pos="4201"/>
          <w:tab w:val="right" w:leader="dot" w:pos="9298"/>
        </w:tabs>
        <w:ind w:firstLine="562" w:firstLineChars="200"/>
        <w:rPr>
          <w:rFonts w:eastAsia="仿宋"/>
          <w:sz w:val="28"/>
          <w:szCs w:val="28"/>
        </w:rPr>
      </w:pPr>
      <w:r>
        <w:rPr>
          <w:rFonts w:eastAsia="仿宋"/>
          <w:b/>
          <w:bCs/>
          <w:sz w:val="28"/>
          <w:szCs w:val="28"/>
        </w:rPr>
        <w:t>行业实践与文献支撑：</w:t>
      </w:r>
      <w:r>
        <w:rPr>
          <w:rFonts w:eastAsia="仿宋"/>
          <w:sz w:val="28"/>
          <w:szCs w:val="28"/>
        </w:rPr>
        <w:t>方案参考了《珊瑚礁病害生态学》《海水水族箱病害防治手册》等文献中的通用方法，并结合观赏石珊瑚的人工养殖特性调整——例如，抗生素使用浓度（土霉素20mg/L、广谱抗生素10mg/L）低于海水养殖鱼类的常规剂量（避免对珊瑚共生菌造成破坏）；寄生虫防治中的福尔马林浓度，符合《水产养殖用药指南》中对无脊椎动物的安全限值。</w:t>
      </w:r>
    </w:p>
    <w:p w14:paraId="759ED4A7">
      <w:pPr>
        <w:tabs>
          <w:tab w:val="center" w:pos="4201"/>
          <w:tab w:val="right" w:leader="dot" w:pos="9298"/>
        </w:tabs>
        <w:ind w:firstLine="560" w:firstLineChars="200"/>
        <w:rPr>
          <w:rFonts w:eastAsia="仿宋"/>
          <w:sz w:val="28"/>
          <w:szCs w:val="28"/>
        </w:rPr>
      </w:pPr>
      <w:r>
        <w:rPr>
          <w:rFonts w:eastAsia="仿宋"/>
          <w:sz w:val="28"/>
          <w:szCs w:val="28"/>
        </w:rPr>
        <w:t>综上，表格内容以临床诊断为基础、试验数据为支撑、安全实操为原则，形成科学规范的病害处置体系，兼顾治疗效果与珊瑚健康。</w:t>
      </w:r>
    </w:p>
    <w:p w14:paraId="42D1F002">
      <w:pPr>
        <w:pStyle w:val="7"/>
        <w:widowControl/>
        <w:numPr>
          <w:ilvl w:val="1"/>
          <w:numId w:val="5"/>
        </w:numPr>
        <w:adjustRightInd w:val="0"/>
        <w:snapToGrid w:val="0"/>
        <w:spacing w:before="156" w:beforeLines="50" w:beforeAutospacing="0" w:after="156" w:afterLines="50" w:afterAutospacing="0"/>
        <w:jc w:val="center"/>
      </w:pPr>
      <w:bookmarkStart w:id="11" w:name="_Toc205304986"/>
      <w:bookmarkStart w:id="12" w:name="_Toc205305031"/>
      <w:r>
        <w:rPr>
          <w:rFonts w:eastAsia="黑体"/>
          <w:kern w:val="21"/>
          <w:sz w:val="21"/>
          <w:szCs w:val="20"/>
          <w:lang w:bidi="ar"/>
        </w:rPr>
        <w:t>观赏石珊瑚养殖记录</w:t>
      </w:r>
      <w:bookmarkEnd w:id="11"/>
      <w:bookmarkEnd w:id="12"/>
    </w:p>
    <w:tbl>
      <w:tblPr>
        <w:tblStyle w:val="9"/>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253"/>
        <w:gridCol w:w="1813"/>
        <w:gridCol w:w="1790"/>
        <w:gridCol w:w="1899"/>
        <w:gridCol w:w="1767"/>
      </w:tblGrid>
      <w:tr w14:paraId="314798E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5"/>
            <w:tcBorders>
              <w:top w:val="single" w:color="auto" w:sz="8" w:space="0"/>
              <w:left w:val="single" w:color="auto" w:sz="8" w:space="0"/>
              <w:bottom w:val="single" w:color="auto" w:sz="4" w:space="0"/>
              <w:right w:val="single" w:color="auto" w:sz="8" w:space="0"/>
            </w:tcBorders>
            <w:shd w:val="clear" w:color="auto" w:fill="auto"/>
            <w:noWrap/>
            <w:vAlign w:val="center"/>
          </w:tcPr>
          <w:p w14:paraId="29CE8608">
            <w:pPr>
              <w:widowControl/>
              <w:adjustRightInd w:val="0"/>
              <w:spacing w:line="400" w:lineRule="exact"/>
              <w:jc w:val="left"/>
              <w:textAlignment w:val="center"/>
              <w:rPr>
                <w:color w:val="000000"/>
                <w:kern w:val="0"/>
                <w:sz w:val="18"/>
                <w:szCs w:val="18"/>
                <w:lang w:bidi="ar"/>
              </w:rPr>
            </w:pPr>
            <w:r>
              <w:rPr>
                <w:color w:val="000000"/>
                <w:kern w:val="0"/>
                <w:sz w:val="18"/>
                <w:szCs w:val="18"/>
                <w:lang w:bidi="ar"/>
              </w:rPr>
              <w:t>记录时间：</w:t>
            </w:r>
          </w:p>
          <w:p w14:paraId="76B7B027">
            <w:pPr>
              <w:widowControl/>
              <w:adjustRightInd w:val="0"/>
              <w:spacing w:line="400" w:lineRule="exact"/>
              <w:jc w:val="left"/>
              <w:textAlignment w:val="center"/>
              <w:rPr>
                <w:color w:val="000000"/>
                <w:kern w:val="0"/>
                <w:sz w:val="18"/>
                <w:szCs w:val="18"/>
                <w:lang w:bidi="ar"/>
              </w:rPr>
            </w:pPr>
            <w:r>
              <w:rPr>
                <w:color w:val="000000"/>
                <w:kern w:val="0"/>
                <w:sz w:val="18"/>
                <w:szCs w:val="18"/>
                <w:lang w:bidi="ar"/>
              </w:rPr>
              <w:t>记录地点：</w:t>
            </w:r>
          </w:p>
          <w:p w14:paraId="6C976AF8">
            <w:pPr>
              <w:widowControl/>
              <w:adjustRightInd w:val="0"/>
              <w:spacing w:line="400" w:lineRule="exact"/>
              <w:jc w:val="left"/>
              <w:textAlignment w:val="center"/>
              <w:rPr>
                <w:color w:val="000000"/>
                <w:kern w:val="0"/>
                <w:sz w:val="18"/>
                <w:szCs w:val="18"/>
              </w:rPr>
            </w:pPr>
            <w:r>
              <w:rPr>
                <w:color w:val="000000"/>
                <w:kern w:val="0"/>
                <w:sz w:val="18"/>
                <w:szCs w:val="18"/>
                <w:lang w:bidi="ar"/>
              </w:rPr>
              <w:t>记录人员：</w:t>
            </w:r>
          </w:p>
        </w:tc>
      </w:tr>
      <w:tr w14:paraId="5BA16F7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735" w:type="pct"/>
            <w:tcBorders>
              <w:top w:val="single" w:color="auto" w:sz="4" w:space="0"/>
              <w:left w:val="single" w:color="auto" w:sz="8" w:space="0"/>
              <w:bottom w:val="single" w:color="auto" w:sz="4" w:space="0"/>
              <w:right w:val="single" w:color="auto" w:sz="4" w:space="0"/>
            </w:tcBorders>
            <w:shd w:val="clear" w:color="auto" w:fill="auto"/>
            <w:noWrap/>
            <w:vAlign w:val="center"/>
          </w:tcPr>
          <w:p w14:paraId="52B8246D">
            <w:pPr>
              <w:widowControl/>
              <w:adjustRightInd w:val="0"/>
              <w:spacing w:line="400" w:lineRule="exact"/>
              <w:jc w:val="center"/>
              <w:textAlignment w:val="center"/>
              <w:rPr>
                <w:color w:val="000000"/>
                <w:kern w:val="0"/>
                <w:sz w:val="18"/>
                <w:szCs w:val="18"/>
                <w:lang w:bidi="ar"/>
              </w:rPr>
            </w:pPr>
            <w:r>
              <w:rPr>
                <w:color w:val="000000"/>
                <w:sz w:val="18"/>
                <w:szCs w:val="18"/>
                <w:lang w:bidi="ar"/>
              </w:rPr>
              <w:t>来源</w:t>
            </w:r>
          </w:p>
        </w:tc>
        <w:tc>
          <w:tcPr>
            <w:tcW w:w="4264" w:type="pct"/>
            <w:gridSpan w:val="4"/>
            <w:tcBorders>
              <w:top w:val="single" w:color="auto" w:sz="4" w:space="0"/>
              <w:left w:val="single" w:color="auto" w:sz="4" w:space="0"/>
              <w:bottom w:val="single" w:color="auto" w:sz="4" w:space="0"/>
              <w:right w:val="single" w:color="auto" w:sz="8" w:space="0"/>
            </w:tcBorders>
            <w:shd w:val="clear" w:color="auto" w:fill="auto"/>
            <w:noWrap/>
            <w:vAlign w:val="center"/>
          </w:tcPr>
          <w:p w14:paraId="20236BFB">
            <w:pPr>
              <w:adjustRightInd w:val="0"/>
              <w:spacing w:line="400" w:lineRule="exact"/>
              <w:jc w:val="center"/>
              <w:rPr>
                <w:sz w:val="18"/>
                <w:szCs w:val="18"/>
              </w:rPr>
            </w:pPr>
          </w:p>
        </w:tc>
      </w:tr>
      <w:tr w14:paraId="4174713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restart"/>
            <w:tcBorders>
              <w:top w:val="single" w:color="auto" w:sz="4" w:space="0"/>
              <w:left w:val="single" w:color="auto" w:sz="8" w:space="0"/>
              <w:bottom w:val="single" w:color="auto" w:sz="4" w:space="0"/>
              <w:right w:val="single" w:color="auto" w:sz="4" w:space="0"/>
            </w:tcBorders>
            <w:shd w:val="clear" w:color="auto" w:fill="auto"/>
            <w:noWrap/>
            <w:vAlign w:val="center"/>
          </w:tcPr>
          <w:p w14:paraId="40736BFB">
            <w:pPr>
              <w:widowControl/>
              <w:adjustRightInd w:val="0"/>
              <w:spacing w:line="400" w:lineRule="exact"/>
              <w:jc w:val="center"/>
              <w:textAlignment w:val="center"/>
              <w:rPr>
                <w:color w:val="000000"/>
                <w:sz w:val="18"/>
                <w:szCs w:val="18"/>
              </w:rPr>
            </w:pPr>
            <w:r>
              <w:rPr>
                <w:color w:val="000000"/>
                <w:kern w:val="0"/>
                <w:sz w:val="18"/>
                <w:szCs w:val="18"/>
                <w:lang w:bidi="ar"/>
              </w:rPr>
              <w:t>水质</w:t>
            </w:r>
          </w:p>
        </w:tc>
        <w:tc>
          <w:tcPr>
            <w:tcW w:w="106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EE2E345">
            <w:pPr>
              <w:widowControl/>
              <w:adjustRightInd w:val="0"/>
              <w:spacing w:line="400" w:lineRule="exact"/>
              <w:jc w:val="center"/>
              <w:textAlignment w:val="center"/>
              <w:rPr>
                <w:color w:val="000000"/>
                <w:sz w:val="18"/>
                <w:szCs w:val="18"/>
              </w:rPr>
            </w:pPr>
            <w:r>
              <w:rPr>
                <w:color w:val="000000"/>
                <w:kern w:val="0"/>
                <w:sz w:val="18"/>
                <w:szCs w:val="18"/>
                <w:lang w:bidi="ar"/>
              </w:rPr>
              <w:t>温度</w:t>
            </w:r>
          </w:p>
        </w:tc>
        <w:tc>
          <w:tcPr>
            <w:tcW w:w="1050"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2E1868F">
            <w:pPr>
              <w:adjustRightInd w:val="0"/>
              <w:spacing w:line="400" w:lineRule="exact"/>
              <w:jc w:val="left"/>
              <w:rPr>
                <w:color w:val="000000"/>
                <w:kern w:val="0"/>
                <w:sz w:val="18"/>
                <w:szCs w:val="18"/>
              </w:rPr>
            </w:pPr>
          </w:p>
        </w:tc>
        <w:tc>
          <w:tcPr>
            <w:tcW w:w="111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2E13C53">
            <w:pPr>
              <w:widowControl/>
              <w:adjustRightInd w:val="0"/>
              <w:spacing w:line="400" w:lineRule="exact"/>
              <w:jc w:val="center"/>
              <w:textAlignment w:val="center"/>
              <w:rPr>
                <w:color w:val="000000"/>
                <w:sz w:val="18"/>
                <w:szCs w:val="18"/>
              </w:rPr>
            </w:pPr>
            <w:r>
              <w:rPr>
                <w:color w:val="000000"/>
                <w:kern w:val="0"/>
                <w:sz w:val="18"/>
                <w:szCs w:val="18"/>
                <w:lang w:bidi="ar"/>
              </w:rPr>
              <w:t>镁Mg</w:t>
            </w:r>
            <w:r>
              <w:rPr>
                <w:rStyle w:val="34"/>
                <w:rFonts w:hint="default" w:ascii="Times New Roman" w:hAnsi="Times New Roman" w:cs="Times New Roman"/>
                <w:sz w:val="18"/>
                <w:szCs w:val="18"/>
                <w:lang w:bidi="ar"/>
              </w:rPr>
              <w:t>2+</w:t>
            </w:r>
          </w:p>
        </w:tc>
        <w:tc>
          <w:tcPr>
            <w:tcW w:w="1034" w:type="pct"/>
            <w:tcBorders>
              <w:top w:val="single" w:color="auto" w:sz="4" w:space="0"/>
              <w:left w:val="single" w:color="auto" w:sz="4" w:space="0"/>
              <w:bottom w:val="single" w:color="auto" w:sz="4" w:space="0"/>
              <w:right w:val="single" w:color="auto" w:sz="8" w:space="0"/>
            </w:tcBorders>
            <w:shd w:val="clear" w:color="auto" w:fill="auto"/>
            <w:noWrap/>
            <w:vAlign w:val="center"/>
          </w:tcPr>
          <w:p w14:paraId="7CE1B9E8">
            <w:pPr>
              <w:adjustRightInd w:val="0"/>
              <w:spacing w:line="400" w:lineRule="exact"/>
              <w:jc w:val="center"/>
              <w:rPr>
                <w:sz w:val="18"/>
                <w:szCs w:val="18"/>
              </w:rPr>
            </w:pPr>
          </w:p>
        </w:tc>
      </w:tr>
      <w:tr w14:paraId="63BA49C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continue"/>
            <w:tcBorders>
              <w:top w:val="single" w:color="auto" w:sz="4" w:space="0"/>
              <w:left w:val="single" w:color="auto" w:sz="8" w:space="0"/>
              <w:bottom w:val="single" w:color="auto" w:sz="4" w:space="0"/>
              <w:right w:val="single" w:color="auto" w:sz="4" w:space="0"/>
            </w:tcBorders>
            <w:shd w:val="clear" w:color="auto" w:fill="auto"/>
            <w:noWrap/>
            <w:vAlign w:val="center"/>
          </w:tcPr>
          <w:p w14:paraId="2126C892">
            <w:pPr>
              <w:rPr>
                <w:sz w:val="20"/>
                <w:szCs w:val="20"/>
              </w:rPr>
            </w:pP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12367A08">
            <w:pPr>
              <w:widowControl/>
              <w:adjustRightInd w:val="0"/>
              <w:spacing w:line="400" w:lineRule="exact"/>
              <w:jc w:val="center"/>
              <w:textAlignment w:val="center"/>
              <w:rPr>
                <w:color w:val="000000"/>
                <w:sz w:val="18"/>
                <w:szCs w:val="18"/>
              </w:rPr>
            </w:pPr>
            <w:r>
              <w:rPr>
                <w:color w:val="000000"/>
                <w:kern w:val="0"/>
                <w:sz w:val="18"/>
                <w:szCs w:val="18"/>
                <w:lang w:bidi="ar"/>
              </w:rPr>
              <w:t>盐度</w:t>
            </w:r>
          </w:p>
        </w:tc>
        <w:tc>
          <w:tcPr>
            <w:tcW w:w="1050"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263BABD">
            <w:pPr>
              <w:adjustRightInd w:val="0"/>
              <w:spacing w:line="400" w:lineRule="exact"/>
              <w:jc w:val="left"/>
              <w:rPr>
                <w:color w:val="000000"/>
                <w:sz w:val="18"/>
                <w:szCs w:val="18"/>
              </w:rPr>
            </w:pPr>
          </w:p>
        </w:tc>
        <w:tc>
          <w:tcPr>
            <w:tcW w:w="111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7D450B7E">
            <w:pPr>
              <w:widowControl/>
              <w:adjustRightInd w:val="0"/>
              <w:spacing w:line="400" w:lineRule="exact"/>
              <w:jc w:val="center"/>
              <w:textAlignment w:val="center"/>
              <w:rPr>
                <w:color w:val="000000"/>
                <w:kern w:val="0"/>
                <w:sz w:val="18"/>
                <w:szCs w:val="18"/>
              </w:rPr>
            </w:pPr>
            <w:r>
              <w:rPr>
                <w:color w:val="000000"/>
                <w:kern w:val="0"/>
                <w:sz w:val="18"/>
                <w:szCs w:val="18"/>
                <w:lang w:bidi="ar"/>
              </w:rPr>
              <w:t>铵NH</w:t>
            </w:r>
            <w:r>
              <w:rPr>
                <w:rStyle w:val="35"/>
                <w:rFonts w:hint="default" w:ascii="Times New Roman" w:hAnsi="Times New Roman" w:cs="Times New Roman"/>
                <w:sz w:val="18"/>
                <w:szCs w:val="18"/>
                <w:lang w:bidi="ar"/>
              </w:rPr>
              <w:t>4</w:t>
            </w:r>
            <w:r>
              <w:rPr>
                <w:rStyle w:val="34"/>
                <w:rFonts w:hint="default" w:ascii="Times New Roman" w:hAnsi="Times New Roman" w:cs="Times New Roman"/>
                <w:sz w:val="18"/>
                <w:szCs w:val="18"/>
                <w:lang w:bidi="ar"/>
              </w:rPr>
              <w:t>+</w:t>
            </w:r>
          </w:p>
        </w:tc>
        <w:tc>
          <w:tcPr>
            <w:tcW w:w="1034" w:type="pct"/>
            <w:tcBorders>
              <w:top w:val="single" w:color="auto" w:sz="4" w:space="0"/>
              <w:left w:val="single" w:color="auto" w:sz="4" w:space="0"/>
              <w:bottom w:val="single" w:color="auto" w:sz="4" w:space="0"/>
              <w:right w:val="single" w:color="auto" w:sz="8" w:space="0"/>
            </w:tcBorders>
            <w:shd w:val="clear" w:color="auto" w:fill="auto"/>
            <w:noWrap/>
            <w:vAlign w:val="center"/>
          </w:tcPr>
          <w:p w14:paraId="2BEB9A1C">
            <w:pPr>
              <w:adjustRightInd w:val="0"/>
              <w:spacing w:line="400" w:lineRule="exact"/>
              <w:jc w:val="center"/>
              <w:rPr>
                <w:sz w:val="18"/>
                <w:szCs w:val="18"/>
              </w:rPr>
            </w:pPr>
          </w:p>
        </w:tc>
      </w:tr>
      <w:tr w14:paraId="3B39757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continue"/>
            <w:tcBorders>
              <w:top w:val="single" w:color="auto" w:sz="4" w:space="0"/>
              <w:left w:val="single" w:color="auto" w:sz="8" w:space="0"/>
              <w:bottom w:val="single" w:color="auto" w:sz="4" w:space="0"/>
              <w:right w:val="single" w:color="auto" w:sz="4" w:space="0"/>
            </w:tcBorders>
            <w:shd w:val="clear" w:color="auto" w:fill="auto"/>
            <w:noWrap/>
            <w:vAlign w:val="center"/>
          </w:tcPr>
          <w:p w14:paraId="4515092C">
            <w:pPr>
              <w:rPr>
                <w:sz w:val="20"/>
                <w:szCs w:val="20"/>
              </w:rPr>
            </w:pP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333D251E">
            <w:pPr>
              <w:widowControl/>
              <w:adjustRightInd w:val="0"/>
              <w:spacing w:line="400" w:lineRule="exact"/>
              <w:jc w:val="center"/>
              <w:textAlignment w:val="center"/>
              <w:rPr>
                <w:color w:val="000000"/>
                <w:sz w:val="18"/>
                <w:szCs w:val="18"/>
              </w:rPr>
            </w:pPr>
            <w:r>
              <w:rPr>
                <w:color w:val="000000"/>
                <w:kern w:val="0"/>
                <w:sz w:val="18"/>
                <w:szCs w:val="18"/>
                <w:lang w:bidi="ar"/>
              </w:rPr>
              <w:t>溶解氧</w:t>
            </w:r>
          </w:p>
        </w:tc>
        <w:tc>
          <w:tcPr>
            <w:tcW w:w="1050"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71A2028">
            <w:pPr>
              <w:adjustRightInd w:val="0"/>
              <w:spacing w:line="400" w:lineRule="exact"/>
              <w:jc w:val="left"/>
              <w:rPr>
                <w:color w:val="000000"/>
                <w:sz w:val="18"/>
                <w:szCs w:val="18"/>
              </w:rPr>
            </w:pPr>
          </w:p>
        </w:tc>
        <w:tc>
          <w:tcPr>
            <w:tcW w:w="111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4880DABC">
            <w:pPr>
              <w:widowControl/>
              <w:adjustRightInd w:val="0"/>
              <w:spacing w:line="400" w:lineRule="exact"/>
              <w:jc w:val="center"/>
              <w:textAlignment w:val="center"/>
              <w:rPr>
                <w:color w:val="000000"/>
                <w:kern w:val="0"/>
                <w:sz w:val="18"/>
                <w:szCs w:val="18"/>
              </w:rPr>
            </w:pPr>
            <w:r>
              <w:rPr>
                <w:color w:val="000000"/>
                <w:kern w:val="0"/>
                <w:sz w:val="18"/>
                <w:szCs w:val="18"/>
                <w:lang w:bidi="ar"/>
              </w:rPr>
              <w:t>亚硝酸盐N0</w:t>
            </w:r>
            <w:r>
              <w:rPr>
                <w:rStyle w:val="35"/>
                <w:rFonts w:hint="default" w:ascii="Times New Roman" w:hAnsi="Times New Roman" w:cs="Times New Roman"/>
                <w:sz w:val="18"/>
                <w:szCs w:val="18"/>
                <w:lang w:bidi="ar"/>
              </w:rPr>
              <w:t>2</w:t>
            </w:r>
            <w:r>
              <w:rPr>
                <w:rStyle w:val="34"/>
                <w:rFonts w:hint="default" w:ascii="Times New Roman" w:hAnsi="Times New Roman" w:cs="Times New Roman"/>
                <w:sz w:val="18"/>
                <w:szCs w:val="18"/>
                <w:lang w:bidi="ar"/>
              </w:rPr>
              <w:t>-</w:t>
            </w:r>
          </w:p>
        </w:tc>
        <w:tc>
          <w:tcPr>
            <w:tcW w:w="1034" w:type="pct"/>
            <w:tcBorders>
              <w:top w:val="single" w:color="auto" w:sz="4" w:space="0"/>
              <w:left w:val="single" w:color="auto" w:sz="4" w:space="0"/>
              <w:bottom w:val="single" w:color="auto" w:sz="4" w:space="0"/>
              <w:right w:val="single" w:color="auto" w:sz="8" w:space="0"/>
            </w:tcBorders>
            <w:shd w:val="clear" w:color="auto" w:fill="auto"/>
            <w:noWrap/>
            <w:vAlign w:val="center"/>
          </w:tcPr>
          <w:p w14:paraId="41FECFE2">
            <w:pPr>
              <w:adjustRightInd w:val="0"/>
              <w:spacing w:line="400" w:lineRule="exact"/>
              <w:jc w:val="center"/>
              <w:rPr>
                <w:sz w:val="18"/>
                <w:szCs w:val="18"/>
              </w:rPr>
            </w:pPr>
          </w:p>
        </w:tc>
      </w:tr>
      <w:tr w14:paraId="33023C2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continue"/>
            <w:tcBorders>
              <w:top w:val="single" w:color="auto" w:sz="4" w:space="0"/>
              <w:left w:val="single" w:color="auto" w:sz="8" w:space="0"/>
              <w:bottom w:val="single" w:color="auto" w:sz="4" w:space="0"/>
              <w:right w:val="single" w:color="auto" w:sz="4" w:space="0"/>
            </w:tcBorders>
            <w:shd w:val="clear" w:color="auto" w:fill="auto"/>
            <w:noWrap/>
            <w:vAlign w:val="center"/>
          </w:tcPr>
          <w:p w14:paraId="1B55B24C">
            <w:pPr>
              <w:rPr>
                <w:sz w:val="20"/>
                <w:szCs w:val="20"/>
              </w:rPr>
            </w:pP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3E01033D">
            <w:pPr>
              <w:widowControl/>
              <w:adjustRightInd w:val="0"/>
              <w:spacing w:line="400" w:lineRule="exact"/>
              <w:jc w:val="center"/>
              <w:textAlignment w:val="center"/>
              <w:rPr>
                <w:color w:val="000000"/>
                <w:sz w:val="18"/>
                <w:szCs w:val="18"/>
              </w:rPr>
            </w:pPr>
            <w:r>
              <w:rPr>
                <w:color w:val="000000"/>
                <w:kern w:val="0"/>
                <w:sz w:val="18"/>
                <w:szCs w:val="18"/>
                <w:lang w:bidi="ar"/>
              </w:rPr>
              <w:t>碱度KH</w:t>
            </w:r>
          </w:p>
        </w:tc>
        <w:tc>
          <w:tcPr>
            <w:tcW w:w="1050"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846AA04">
            <w:pPr>
              <w:adjustRightInd w:val="0"/>
              <w:spacing w:line="400" w:lineRule="exact"/>
              <w:jc w:val="left"/>
              <w:rPr>
                <w:color w:val="000000"/>
                <w:sz w:val="18"/>
                <w:szCs w:val="18"/>
              </w:rPr>
            </w:pPr>
          </w:p>
        </w:tc>
        <w:tc>
          <w:tcPr>
            <w:tcW w:w="111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F3A3CC2">
            <w:pPr>
              <w:widowControl/>
              <w:adjustRightInd w:val="0"/>
              <w:spacing w:line="400" w:lineRule="exact"/>
              <w:jc w:val="center"/>
              <w:textAlignment w:val="center"/>
              <w:rPr>
                <w:color w:val="000000"/>
                <w:kern w:val="0"/>
                <w:sz w:val="18"/>
                <w:szCs w:val="18"/>
              </w:rPr>
            </w:pPr>
            <w:r>
              <w:rPr>
                <w:color w:val="000000"/>
                <w:kern w:val="0"/>
                <w:sz w:val="18"/>
                <w:szCs w:val="18"/>
                <w:lang w:bidi="ar"/>
              </w:rPr>
              <w:t>硝酸盐N0</w:t>
            </w:r>
            <w:r>
              <w:rPr>
                <w:rStyle w:val="35"/>
                <w:rFonts w:hint="default" w:ascii="Times New Roman" w:hAnsi="Times New Roman" w:cs="Times New Roman"/>
                <w:sz w:val="18"/>
                <w:szCs w:val="18"/>
                <w:lang w:bidi="ar"/>
              </w:rPr>
              <w:t>3</w:t>
            </w:r>
            <w:r>
              <w:rPr>
                <w:rStyle w:val="34"/>
                <w:rFonts w:hint="default" w:ascii="Times New Roman" w:hAnsi="Times New Roman" w:cs="Times New Roman"/>
                <w:sz w:val="18"/>
                <w:szCs w:val="18"/>
                <w:lang w:bidi="ar"/>
              </w:rPr>
              <w:t>-</w:t>
            </w:r>
          </w:p>
        </w:tc>
        <w:tc>
          <w:tcPr>
            <w:tcW w:w="1034" w:type="pct"/>
            <w:tcBorders>
              <w:top w:val="single" w:color="auto" w:sz="4" w:space="0"/>
              <w:left w:val="single" w:color="auto" w:sz="4" w:space="0"/>
              <w:bottom w:val="single" w:color="auto" w:sz="4" w:space="0"/>
              <w:right w:val="single" w:color="auto" w:sz="8" w:space="0"/>
            </w:tcBorders>
            <w:shd w:val="clear" w:color="auto" w:fill="auto"/>
            <w:noWrap/>
            <w:vAlign w:val="center"/>
          </w:tcPr>
          <w:p w14:paraId="2209FA1D">
            <w:pPr>
              <w:adjustRightInd w:val="0"/>
              <w:spacing w:line="400" w:lineRule="exact"/>
              <w:jc w:val="center"/>
              <w:rPr>
                <w:sz w:val="18"/>
                <w:szCs w:val="18"/>
              </w:rPr>
            </w:pPr>
          </w:p>
        </w:tc>
      </w:tr>
      <w:tr w14:paraId="689A623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continue"/>
            <w:tcBorders>
              <w:top w:val="single" w:color="auto" w:sz="4" w:space="0"/>
              <w:left w:val="single" w:color="auto" w:sz="8" w:space="0"/>
              <w:bottom w:val="single" w:color="auto" w:sz="4" w:space="0"/>
              <w:right w:val="single" w:color="auto" w:sz="4" w:space="0"/>
            </w:tcBorders>
            <w:shd w:val="clear" w:color="auto" w:fill="auto"/>
            <w:noWrap/>
            <w:vAlign w:val="center"/>
          </w:tcPr>
          <w:p w14:paraId="3ECA7EDA">
            <w:pPr>
              <w:rPr>
                <w:sz w:val="20"/>
                <w:szCs w:val="20"/>
              </w:rPr>
            </w:pP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29EBC6AA">
            <w:pPr>
              <w:widowControl/>
              <w:adjustRightInd w:val="0"/>
              <w:spacing w:line="400" w:lineRule="exact"/>
              <w:jc w:val="center"/>
              <w:textAlignment w:val="center"/>
              <w:rPr>
                <w:color w:val="000000"/>
                <w:sz w:val="18"/>
                <w:szCs w:val="18"/>
              </w:rPr>
            </w:pPr>
            <w:r>
              <w:rPr>
                <w:color w:val="000000"/>
                <w:kern w:val="0"/>
                <w:sz w:val="18"/>
                <w:szCs w:val="18"/>
                <w:lang w:bidi="ar"/>
              </w:rPr>
              <w:t>酸碱度pH</w:t>
            </w:r>
          </w:p>
        </w:tc>
        <w:tc>
          <w:tcPr>
            <w:tcW w:w="1050" w:type="pct"/>
            <w:tcBorders>
              <w:top w:val="single" w:color="auto" w:sz="4" w:space="0"/>
              <w:left w:val="single" w:color="auto" w:sz="4" w:space="0"/>
              <w:bottom w:val="single" w:color="auto" w:sz="4" w:space="0"/>
              <w:right w:val="single" w:color="auto" w:sz="4" w:space="0"/>
            </w:tcBorders>
            <w:shd w:val="clear" w:color="auto" w:fill="auto"/>
            <w:noWrap/>
            <w:vAlign w:val="center"/>
          </w:tcPr>
          <w:p w14:paraId="27014067">
            <w:pPr>
              <w:adjustRightInd w:val="0"/>
              <w:spacing w:line="400" w:lineRule="exact"/>
              <w:jc w:val="left"/>
              <w:rPr>
                <w:color w:val="000000"/>
                <w:sz w:val="18"/>
                <w:szCs w:val="18"/>
              </w:rPr>
            </w:pPr>
          </w:p>
        </w:tc>
        <w:tc>
          <w:tcPr>
            <w:tcW w:w="111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0A4D2A91">
            <w:pPr>
              <w:widowControl/>
              <w:adjustRightInd w:val="0"/>
              <w:spacing w:line="400" w:lineRule="exact"/>
              <w:jc w:val="center"/>
              <w:textAlignment w:val="center"/>
              <w:rPr>
                <w:color w:val="000000"/>
                <w:kern w:val="0"/>
                <w:sz w:val="18"/>
                <w:szCs w:val="18"/>
              </w:rPr>
            </w:pPr>
            <w:r>
              <w:rPr>
                <w:color w:val="000000"/>
                <w:kern w:val="0"/>
                <w:sz w:val="18"/>
                <w:szCs w:val="18"/>
                <w:lang w:bidi="ar"/>
              </w:rPr>
              <w:t>磷酸盐P0</w:t>
            </w:r>
            <w:r>
              <w:rPr>
                <w:rStyle w:val="35"/>
                <w:rFonts w:hint="default" w:ascii="Times New Roman" w:hAnsi="Times New Roman" w:cs="Times New Roman"/>
                <w:sz w:val="18"/>
                <w:szCs w:val="18"/>
                <w:lang w:bidi="ar"/>
              </w:rPr>
              <w:t>4</w:t>
            </w:r>
            <w:r>
              <w:rPr>
                <w:rStyle w:val="34"/>
                <w:rFonts w:hint="default" w:ascii="Times New Roman" w:hAnsi="Times New Roman" w:cs="Times New Roman"/>
                <w:sz w:val="18"/>
                <w:szCs w:val="18"/>
                <w:lang w:bidi="ar"/>
              </w:rPr>
              <w:t>3-</w:t>
            </w:r>
          </w:p>
        </w:tc>
        <w:tc>
          <w:tcPr>
            <w:tcW w:w="1034" w:type="pct"/>
            <w:tcBorders>
              <w:top w:val="single" w:color="auto" w:sz="4" w:space="0"/>
              <w:left w:val="single" w:color="auto" w:sz="4" w:space="0"/>
              <w:bottom w:val="single" w:color="auto" w:sz="4" w:space="0"/>
              <w:right w:val="single" w:color="auto" w:sz="8" w:space="0"/>
            </w:tcBorders>
            <w:shd w:val="clear" w:color="auto" w:fill="auto"/>
            <w:noWrap/>
            <w:vAlign w:val="center"/>
          </w:tcPr>
          <w:p w14:paraId="18254560">
            <w:pPr>
              <w:adjustRightInd w:val="0"/>
              <w:spacing w:line="400" w:lineRule="exact"/>
              <w:jc w:val="center"/>
              <w:rPr>
                <w:sz w:val="18"/>
                <w:szCs w:val="18"/>
              </w:rPr>
            </w:pPr>
          </w:p>
        </w:tc>
      </w:tr>
      <w:tr w14:paraId="2C50768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continue"/>
            <w:tcBorders>
              <w:top w:val="single" w:color="auto" w:sz="4" w:space="0"/>
              <w:left w:val="single" w:color="auto" w:sz="8" w:space="0"/>
              <w:bottom w:val="single" w:color="auto" w:sz="4" w:space="0"/>
              <w:right w:val="single" w:color="auto" w:sz="4" w:space="0"/>
            </w:tcBorders>
            <w:shd w:val="clear" w:color="auto" w:fill="auto"/>
            <w:noWrap/>
            <w:vAlign w:val="center"/>
          </w:tcPr>
          <w:p w14:paraId="0F0DAFE4">
            <w:pPr>
              <w:rPr>
                <w:sz w:val="20"/>
                <w:szCs w:val="20"/>
              </w:rPr>
            </w:pP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32F9DA61">
            <w:pPr>
              <w:widowControl/>
              <w:adjustRightInd w:val="0"/>
              <w:spacing w:line="400" w:lineRule="exact"/>
              <w:jc w:val="center"/>
              <w:textAlignment w:val="center"/>
              <w:rPr>
                <w:color w:val="000000"/>
                <w:sz w:val="18"/>
                <w:szCs w:val="18"/>
              </w:rPr>
            </w:pPr>
            <w:r>
              <w:rPr>
                <w:color w:val="000000"/>
                <w:kern w:val="0"/>
                <w:sz w:val="18"/>
                <w:szCs w:val="18"/>
                <w:lang w:bidi="ar"/>
              </w:rPr>
              <w:t>钙Ca</w:t>
            </w:r>
            <w:r>
              <w:rPr>
                <w:rStyle w:val="34"/>
                <w:rFonts w:hint="default" w:ascii="Times New Roman" w:hAnsi="Times New Roman" w:cs="Times New Roman"/>
                <w:sz w:val="18"/>
                <w:szCs w:val="18"/>
                <w:lang w:bidi="ar"/>
              </w:rPr>
              <w:t>2+</w:t>
            </w:r>
          </w:p>
        </w:tc>
        <w:tc>
          <w:tcPr>
            <w:tcW w:w="1050" w:type="pct"/>
            <w:tcBorders>
              <w:top w:val="single" w:color="auto" w:sz="4" w:space="0"/>
              <w:left w:val="single" w:color="auto" w:sz="4" w:space="0"/>
              <w:bottom w:val="single" w:color="auto" w:sz="4" w:space="0"/>
              <w:right w:val="single" w:color="auto" w:sz="4" w:space="0"/>
            </w:tcBorders>
            <w:shd w:val="clear" w:color="auto" w:fill="auto"/>
            <w:noWrap/>
            <w:vAlign w:val="center"/>
          </w:tcPr>
          <w:p w14:paraId="6DE13B4F">
            <w:pPr>
              <w:adjustRightInd w:val="0"/>
              <w:spacing w:line="400" w:lineRule="exact"/>
              <w:jc w:val="left"/>
              <w:rPr>
                <w:color w:val="000000"/>
                <w:sz w:val="18"/>
                <w:szCs w:val="18"/>
              </w:rPr>
            </w:pPr>
          </w:p>
        </w:tc>
        <w:tc>
          <w:tcPr>
            <w:tcW w:w="1114" w:type="pct"/>
            <w:tcBorders>
              <w:top w:val="single" w:color="auto" w:sz="4" w:space="0"/>
              <w:left w:val="single" w:color="auto" w:sz="4" w:space="0"/>
              <w:bottom w:val="single" w:color="auto" w:sz="4" w:space="0"/>
              <w:right w:val="single" w:color="auto" w:sz="4" w:space="0"/>
            </w:tcBorders>
            <w:shd w:val="clear" w:color="auto" w:fill="auto"/>
            <w:noWrap/>
            <w:vAlign w:val="center"/>
          </w:tcPr>
          <w:p w14:paraId="51913A8D">
            <w:pPr>
              <w:widowControl/>
              <w:adjustRightInd w:val="0"/>
              <w:spacing w:line="400" w:lineRule="exact"/>
              <w:jc w:val="center"/>
              <w:textAlignment w:val="center"/>
              <w:rPr>
                <w:color w:val="000000"/>
                <w:kern w:val="0"/>
                <w:sz w:val="18"/>
                <w:szCs w:val="18"/>
              </w:rPr>
            </w:pPr>
            <w:r>
              <w:rPr>
                <w:color w:val="000000"/>
                <w:kern w:val="0"/>
                <w:sz w:val="18"/>
                <w:szCs w:val="18"/>
                <w:lang w:bidi="ar"/>
              </w:rPr>
              <w:t>其他水质指标</w:t>
            </w:r>
          </w:p>
        </w:tc>
        <w:tc>
          <w:tcPr>
            <w:tcW w:w="1034" w:type="pct"/>
            <w:tcBorders>
              <w:top w:val="single" w:color="auto" w:sz="4" w:space="0"/>
              <w:left w:val="single" w:color="auto" w:sz="4" w:space="0"/>
              <w:bottom w:val="single" w:color="auto" w:sz="4" w:space="0"/>
              <w:right w:val="single" w:color="auto" w:sz="8" w:space="0"/>
            </w:tcBorders>
            <w:shd w:val="clear" w:color="auto" w:fill="auto"/>
            <w:noWrap/>
            <w:vAlign w:val="center"/>
          </w:tcPr>
          <w:p w14:paraId="0614D207">
            <w:pPr>
              <w:adjustRightInd w:val="0"/>
              <w:spacing w:line="400" w:lineRule="exact"/>
              <w:jc w:val="center"/>
              <w:rPr>
                <w:sz w:val="18"/>
                <w:szCs w:val="18"/>
              </w:rPr>
            </w:pPr>
          </w:p>
        </w:tc>
      </w:tr>
      <w:tr w14:paraId="4BA984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restart"/>
            <w:tcBorders>
              <w:top w:val="single" w:color="auto" w:sz="4" w:space="0"/>
              <w:left w:val="single" w:color="auto" w:sz="8" w:space="0"/>
              <w:bottom w:val="single" w:color="auto" w:sz="4" w:space="0"/>
              <w:right w:val="single" w:color="auto" w:sz="4" w:space="0"/>
            </w:tcBorders>
            <w:shd w:val="clear" w:color="auto" w:fill="auto"/>
            <w:vAlign w:val="center"/>
          </w:tcPr>
          <w:p w14:paraId="6953EDBB">
            <w:pPr>
              <w:widowControl/>
              <w:adjustRightInd w:val="0"/>
              <w:spacing w:line="400" w:lineRule="exact"/>
              <w:jc w:val="center"/>
              <w:textAlignment w:val="center"/>
              <w:rPr>
                <w:color w:val="000000"/>
                <w:sz w:val="18"/>
                <w:szCs w:val="18"/>
              </w:rPr>
            </w:pPr>
            <w:r>
              <w:rPr>
                <w:color w:val="000000"/>
                <w:kern w:val="0"/>
                <w:sz w:val="18"/>
                <w:szCs w:val="18"/>
                <w:lang w:bidi="ar"/>
              </w:rPr>
              <w:t>投喂</w:t>
            </w: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6993C42A">
            <w:pPr>
              <w:widowControl/>
              <w:adjustRightInd w:val="0"/>
              <w:spacing w:line="400" w:lineRule="exact"/>
              <w:jc w:val="center"/>
              <w:textAlignment w:val="center"/>
              <w:rPr>
                <w:color w:val="000000"/>
                <w:sz w:val="18"/>
                <w:szCs w:val="18"/>
              </w:rPr>
            </w:pPr>
            <w:r>
              <w:rPr>
                <w:color w:val="000000"/>
                <w:kern w:val="0"/>
                <w:sz w:val="18"/>
                <w:szCs w:val="18"/>
                <w:lang w:bidi="ar"/>
              </w:rPr>
              <w:t>饵料选择</w:t>
            </w:r>
          </w:p>
        </w:tc>
        <w:tc>
          <w:tcPr>
            <w:tcW w:w="3199" w:type="pct"/>
            <w:gridSpan w:val="3"/>
            <w:tcBorders>
              <w:top w:val="single" w:color="auto" w:sz="4" w:space="0"/>
              <w:left w:val="single" w:color="auto" w:sz="4" w:space="0"/>
              <w:bottom w:val="single" w:color="auto" w:sz="4" w:space="0"/>
              <w:right w:val="single" w:color="auto" w:sz="8" w:space="0"/>
            </w:tcBorders>
            <w:shd w:val="clear" w:color="auto" w:fill="auto"/>
            <w:noWrap/>
            <w:vAlign w:val="center"/>
          </w:tcPr>
          <w:p w14:paraId="796AF12A">
            <w:pPr>
              <w:adjustRightInd w:val="0"/>
              <w:spacing w:line="400" w:lineRule="exact"/>
              <w:jc w:val="left"/>
              <w:rPr>
                <w:color w:val="000000"/>
                <w:kern w:val="0"/>
                <w:sz w:val="18"/>
                <w:szCs w:val="18"/>
              </w:rPr>
            </w:pPr>
          </w:p>
        </w:tc>
      </w:tr>
      <w:tr w14:paraId="071FB94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continue"/>
            <w:tcBorders>
              <w:top w:val="single" w:color="auto" w:sz="4" w:space="0"/>
              <w:left w:val="single" w:color="auto" w:sz="8" w:space="0"/>
              <w:bottom w:val="single" w:color="auto" w:sz="4" w:space="0"/>
              <w:right w:val="single" w:color="auto" w:sz="4" w:space="0"/>
            </w:tcBorders>
            <w:shd w:val="clear" w:color="auto" w:fill="auto"/>
            <w:vAlign w:val="center"/>
          </w:tcPr>
          <w:p w14:paraId="60B2399B">
            <w:pPr>
              <w:rPr>
                <w:sz w:val="20"/>
                <w:szCs w:val="20"/>
              </w:rPr>
            </w:pP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67D89463">
            <w:pPr>
              <w:widowControl/>
              <w:adjustRightInd w:val="0"/>
              <w:spacing w:line="400" w:lineRule="exact"/>
              <w:jc w:val="center"/>
              <w:textAlignment w:val="center"/>
              <w:rPr>
                <w:color w:val="000000"/>
                <w:sz w:val="18"/>
                <w:szCs w:val="18"/>
              </w:rPr>
            </w:pPr>
            <w:r>
              <w:rPr>
                <w:color w:val="000000"/>
                <w:kern w:val="0"/>
                <w:sz w:val="18"/>
                <w:szCs w:val="18"/>
                <w:lang w:bidi="ar"/>
              </w:rPr>
              <w:t>投喂量及频率</w:t>
            </w:r>
          </w:p>
        </w:tc>
        <w:tc>
          <w:tcPr>
            <w:tcW w:w="3199" w:type="pct"/>
            <w:gridSpan w:val="3"/>
            <w:tcBorders>
              <w:top w:val="single" w:color="auto" w:sz="4" w:space="0"/>
              <w:left w:val="single" w:color="auto" w:sz="4" w:space="0"/>
              <w:bottom w:val="single" w:color="auto" w:sz="4" w:space="0"/>
              <w:right w:val="single" w:color="auto" w:sz="8" w:space="0"/>
            </w:tcBorders>
            <w:shd w:val="clear" w:color="auto" w:fill="auto"/>
            <w:noWrap/>
            <w:vAlign w:val="center"/>
          </w:tcPr>
          <w:p w14:paraId="7923DD28">
            <w:pPr>
              <w:adjustRightInd w:val="0"/>
              <w:spacing w:line="400" w:lineRule="exact"/>
              <w:jc w:val="left"/>
              <w:rPr>
                <w:color w:val="000000"/>
                <w:kern w:val="0"/>
                <w:sz w:val="18"/>
                <w:szCs w:val="18"/>
              </w:rPr>
            </w:pPr>
          </w:p>
        </w:tc>
      </w:tr>
      <w:tr w14:paraId="632ADE6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restart"/>
            <w:tcBorders>
              <w:top w:val="single" w:color="auto" w:sz="4" w:space="0"/>
              <w:left w:val="single" w:color="auto" w:sz="8" w:space="0"/>
              <w:bottom w:val="single" w:color="auto" w:sz="4" w:space="0"/>
              <w:right w:val="single" w:color="auto" w:sz="4" w:space="0"/>
            </w:tcBorders>
            <w:shd w:val="clear" w:color="auto" w:fill="auto"/>
            <w:vAlign w:val="center"/>
          </w:tcPr>
          <w:p w14:paraId="07D8B0D1">
            <w:pPr>
              <w:adjustRightInd w:val="0"/>
              <w:spacing w:line="400" w:lineRule="exact"/>
              <w:jc w:val="center"/>
              <w:textAlignment w:val="center"/>
              <w:rPr>
                <w:color w:val="000000"/>
                <w:kern w:val="0"/>
                <w:sz w:val="18"/>
                <w:szCs w:val="18"/>
                <w:lang w:bidi="ar"/>
              </w:rPr>
            </w:pPr>
            <w:r>
              <w:rPr>
                <w:color w:val="000000"/>
                <w:kern w:val="0"/>
                <w:sz w:val="18"/>
                <w:szCs w:val="18"/>
                <w:lang w:bidi="ar"/>
              </w:rPr>
              <w:t>病害</w:t>
            </w: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201C397B">
            <w:pPr>
              <w:widowControl/>
              <w:adjustRightInd w:val="0"/>
              <w:spacing w:line="400" w:lineRule="exact"/>
              <w:jc w:val="center"/>
              <w:textAlignment w:val="center"/>
              <w:rPr>
                <w:color w:val="000000"/>
                <w:sz w:val="18"/>
                <w:szCs w:val="18"/>
              </w:rPr>
            </w:pPr>
            <w:r>
              <w:rPr>
                <w:color w:val="000000"/>
                <w:kern w:val="0"/>
                <w:sz w:val="18"/>
                <w:szCs w:val="18"/>
                <w:lang w:bidi="ar"/>
              </w:rPr>
              <w:t>病症诊断</w:t>
            </w:r>
          </w:p>
        </w:tc>
        <w:tc>
          <w:tcPr>
            <w:tcW w:w="3199" w:type="pct"/>
            <w:gridSpan w:val="3"/>
            <w:tcBorders>
              <w:top w:val="single" w:color="auto" w:sz="4" w:space="0"/>
              <w:left w:val="single" w:color="auto" w:sz="4" w:space="0"/>
              <w:bottom w:val="single" w:color="auto" w:sz="4" w:space="0"/>
              <w:right w:val="single" w:color="auto" w:sz="8" w:space="0"/>
            </w:tcBorders>
            <w:shd w:val="clear" w:color="auto" w:fill="auto"/>
            <w:noWrap/>
            <w:vAlign w:val="center"/>
          </w:tcPr>
          <w:p w14:paraId="121E2091">
            <w:pPr>
              <w:adjustRightInd w:val="0"/>
              <w:spacing w:line="400" w:lineRule="exact"/>
              <w:jc w:val="left"/>
              <w:rPr>
                <w:color w:val="000000"/>
                <w:sz w:val="18"/>
                <w:szCs w:val="18"/>
              </w:rPr>
            </w:pPr>
          </w:p>
        </w:tc>
      </w:tr>
      <w:tr w14:paraId="3A55E59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continue"/>
            <w:tcBorders>
              <w:top w:val="single" w:color="auto" w:sz="4" w:space="0"/>
              <w:left w:val="single" w:color="auto" w:sz="8" w:space="0"/>
              <w:bottom w:val="single" w:color="auto" w:sz="4" w:space="0"/>
              <w:right w:val="single" w:color="auto" w:sz="4" w:space="0"/>
            </w:tcBorders>
            <w:shd w:val="clear" w:color="auto" w:fill="auto"/>
            <w:vAlign w:val="center"/>
          </w:tcPr>
          <w:p w14:paraId="25C93AD4">
            <w:pPr>
              <w:rPr>
                <w:sz w:val="20"/>
                <w:szCs w:val="20"/>
              </w:rPr>
            </w:pP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62BA3A83">
            <w:pPr>
              <w:widowControl/>
              <w:adjustRightInd w:val="0"/>
              <w:spacing w:line="400" w:lineRule="exact"/>
              <w:jc w:val="center"/>
              <w:textAlignment w:val="center"/>
              <w:rPr>
                <w:color w:val="000000"/>
                <w:sz w:val="18"/>
                <w:szCs w:val="18"/>
              </w:rPr>
            </w:pPr>
            <w:r>
              <w:rPr>
                <w:color w:val="000000"/>
                <w:kern w:val="0"/>
                <w:sz w:val="18"/>
                <w:szCs w:val="18"/>
                <w:lang w:bidi="ar"/>
              </w:rPr>
              <w:t>死亡情况</w:t>
            </w:r>
          </w:p>
        </w:tc>
        <w:tc>
          <w:tcPr>
            <w:tcW w:w="3199" w:type="pct"/>
            <w:gridSpan w:val="3"/>
            <w:tcBorders>
              <w:top w:val="single" w:color="auto" w:sz="4" w:space="0"/>
              <w:left w:val="single" w:color="auto" w:sz="4" w:space="0"/>
              <w:bottom w:val="single" w:color="auto" w:sz="4" w:space="0"/>
              <w:right w:val="single" w:color="auto" w:sz="8" w:space="0"/>
            </w:tcBorders>
            <w:shd w:val="clear" w:color="auto" w:fill="auto"/>
            <w:noWrap/>
            <w:vAlign w:val="center"/>
          </w:tcPr>
          <w:p w14:paraId="43CC5644">
            <w:pPr>
              <w:adjustRightInd w:val="0"/>
              <w:spacing w:line="400" w:lineRule="exact"/>
              <w:jc w:val="left"/>
              <w:rPr>
                <w:color w:val="000000"/>
                <w:sz w:val="18"/>
                <w:szCs w:val="18"/>
              </w:rPr>
            </w:pPr>
          </w:p>
        </w:tc>
      </w:tr>
      <w:tr w14:paraId="7014DC6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vMerge w:val="continue"/>
            <w:tcBorders>
              <w:top w:val="single" w:color="auto" w:sz="4" w:space="0"/>
              <w:left w:val="single" w:color="auto" w:sz="8" w:space="0"/>
              <w:bottom w:val="single" w:color="auto" w:sz="4" w:space="0"/>
              <w:right w:val="single" w:color="auto" w:sz="4" w:space="0"/>
            </w:tcBorders>
            <w:shd w:val="clear" w:color="auto" w:fill="auto"/>
            <w:vAlign w:val="center"/>
          </w:tcPr>
          <w:p w14:paraId="22DBA000">
            <w:pPr>
              <w:rPr>
                <w:sz w:val="20"/>
                <w:szCs w:val="20"/>
              </w:rPr>
            </w:pPr>
          </w:p>
        </w:tc>
        <w:tc>
          <w:tcPr>
            <w:tcW w:w="1064" w:type="pct"/>
            <w:tcBorders>
              <w:top w:val="single" w:color="auto" w:sz="4" w:space="0"/>
              <w:left w:val="single" w:color="auto" w:sz="4" w:space="0"/>
              <w:bottom w:val="single" w:color="auto" w:sz="4" w:space="0"/>
              <w:right w:val="single" w:color="auto" w:sz="4" w:space="0"/>
            </w:tcBorders>
            <w:shd w:val="clear" w:color="auto" w:fill="auto"/>
            <w:vAlign w:val="center"/>
          </w:tcPr>
          <w:p w14:paraId="323A4D78">
            <w:pPr>
              <w:widowControl/>
              <w:adjustRightInd w:val="0"/>
              <w:spacing w:line="400" w:lineRule="exact"/>
              <w:jc w:val="center"/>
              <w:textAlignment w:val="center"/>
              <w:rPr>
                <w:color w:val="000000"/>
                <w:sz w:val="18"/>
                <w:szCs w:val="18"/>
              </w:rPr>
            </w:pPr>
            <w:r>
              <w:rPr>
                <w:color w:val="000000"/>
                <w:kern w:val="0"/>
                <w:sz w:val="18"/>
                <w:szCs w:val="18"/>
                <w:lang w:bidi="ar"/>
              </w:rPr>
              <w:t>用药情况</w:t>
            </w:r>
          </w:p>
        </w:tc>
        <w:tc>
          <w:tcPr>
            <w:tcW w:w="3199" w:type="pct"/>
            <w:gridSpan w:val="3"/>
            <w:tcBorders>
              <w:top w:val="single" w:color="auto" w:sz="4" w:space="0"/>
              <w:left w:val="single" w:color="auto" w:sz="4" w:space="0"/>
              <w:bottom w:val="single" w:color="auto" w:sz="4" w:space="0"/>
              <w:right w:val="single" w:color="auto" w:sz="8" w:space="0"/>
            </w:tcBorders>
            <w:shd w:val="clear" w:color="auto" w:fill="auto"/>
            <w:noWrap/>
            <w:vAlign w:val="center"/>
          </w:tcPr>
          <w:p w14:paraId="7D9ED0F2">
            <w:pPr>
              <w:adjustRightInd w:val="0"/>
              <w:spacing w:line="400" w:lineRule="exact"/>
              <w:jc w:val="left"/>
              <w:rPr>
                <w:color w:val="000000"/>
                <w:sz w:val="18"/>
                <w:szCs w:val="18"/>
              </w:rPr>
            </w:pPr>
          </w:p>
        </w:tc>
      </w:tr>
      <w:tr w14:paraId="63FBD52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35" w:type="pct"/>
            <w:tcBorders>
              <w:top w:val="single" w:color="auto" w:sz="4" w:space="0"/>
              <w:left w:val="single" w:color="auto" w:sz="8" w:space="0"/>
              <w:bottom w:val="single" w:color="auto" w:sz="8" w:space="0"/>
              <w:right w:val="single" w:color="auto" w:sz="4" w:space="0"/>
            </w:tcBorders>
            <w:shd w:val="clear" w:color="auto" w:fill="auto"/>
            <w:vAlign w:val="center"/>
          </w:tcPr>
          <w:p w14:paraId="4CFA6D5D">
            <w:pPr>
              <w:adjustRightInd w:val="0"/>
              <w:spacing w:line="400" w:lineRule="exact"/>
              <w:jc w:val="center"/>
              <w:rPr>
                <w:color w:val="000000"/>
                <w:sz w:val="18"/>
                <w:szCs w:val="18"/>
              </w:rPr>
            </w:pPr>
            <w:r>
              <w:rPr>
                <w:szCs w:val="21"/>
                <w:lang w:bidi="ar"/>
              </w:rPr>
              <w:t>个体履历</w:t>
            </w:r>
          </w:p>
        </w:tc>
        <w:tc>
          <w:tcPr>
            <w:tcW w:w="4264" w:type="pct"/>
            <w:gridSpan w:val="4"/>
            <w:tcBorders>
              <w:top w:val="single" w:color="auto" w:sz="4" w:space="0"/>
              <w:left w:val="single" w:color="auto" w:sz="4" w:space="0"/>
              <w:bottom w:val="single" w:color="auto" w:sz="8" w:space="0"/>
              <w:right w:val="single" w:color="auto" w:sz="8" w:space="0"/>
            </w:tcBorders>
            <w:shd w:val="clear" w:color="auto" w:fill="auto"/>
            <w:vAlign w:val="center"/>
          </w:tcPr>
          <w:p w14:paraId="61F14BB6">
            <w:pPr>
              <w:widowControl/>
              <w:adjustRightInd w:val="0"/>
              <w:spacing w:line="400" w:lineRule="exact"/>
              <w:jc w:val="center"/>
              <w:textAlignment w:val="center"/>
              <w:rPr>
                <w:color w:val="000000"/>
                <w:sz w:val="18"/>
                <w:szCs w:val="18"/>
              </w:rPr>
            </w:pPr>
          </w:p>
        </w:tc>
      </w:tr>
    </w:tbl>
    <w:p w14:paraId="72A5EABC">
      <w:pPr>
        <w:tabs>
          <w:tab w:val="center" w:pos="4201"/>
          <w:tab w:val="right" w:leader="dot" w:pos="9298"/>
        </w:tabs>
        <w:ind w:firstLine="562" w:firstLineChars="200"/>
        <w:rPr>
          <w:rFonts w:eastAsia="仿宋"/>
          <w:sz w:val="28"/>
          <w:szCs w:val="28"/>
        </w:rPr>
      </w:pPr>
      <w:r>
        <w:rPr>
          <w:rFonts w:eastAsia="仿宋"/>
          <w:b/>
          <w:bCs/>
          <w:sz w:val="28"/>
          <w:szCs w:val="28"/>
        </w:rPr>
        <w:t>可追溯管理要求：</w:t>
      </w:r>
      <w:r>
        <w:rPr>
          <w:rFonts w:eastAsia="仿宋"/>
          <w:sz w:val="28"/>
          <w:szCs w:val="28"/>
        </w:rPr>
        <w:t>依据《中华人民共和国农产品质量安全法》中</w:t>
      </w:r>
      <w:r>
        <w:rPr>
          <w:rFonts w:hint="eastAsia" w:eastAsia="仿宋"/>
          <w:sz w:val="28"/>
          <w:szCs w:val="28"/>
        </w:rPr>
        <w:t>“</w:t>
      </w:r>
      <w:r>
        <w:rPr>
          <w:rFonts w:eastAsia="仿宋"/>
          <w:sz w:val="28"/>
          <w:szCs w:val="28"/>
        </w:rPr>
        <w:t>全程可追溯</w:t>
      </w:r>
      <w:r>
        <w:rPr>
          <w:rFonts w:hint="eastAsia" w:eastAsia="仿宋"/>
          <w:sz w:val="28"/>
          <w:szCs w:val="28"/>
        </w:rPr>
        <w:t>”</w:t>
      </w:r>
      <w:r>
        <w:rPr>
          <w:rFonts w:eastAsia="仿宋"/>
          <w:sz w:val="28"/>
          <w:szCs w:val="28"/>
        </w:rPr>
        <w:t>原则，记录</w:t>
      </w:r>
      <w:r>
        <w:rPr>
          <w:rFonts w:hint="eastAsia" w:eastAsia="仿宋"/>
          <w:sz w:val="28"/>
          <w:szCs w:val="28"/>
        </w:rPr>
        <w:t>“</w:t>
      </w:r>
      <w:r>
        <w:rPr>
          <w:rFonts w:eastAsia="仿宋"/>
          <w:sz w:val="28"/>
          <w:szCs w:val="28"/>
        </w:rPr>
        <w:t>来源</w:t>
      </w:r>
      <w:r>
        <w:rPr>
          <w:rFonts w:hint="eastAsia" w:eastAsia="仿宋"/>
          <w:sz w:val="28"/>
          <w:szCs w:val="28"/>
        </w:rPr>
        <w:t>”</w:t>
      </w:r>
      <w:r>
        <w:rPr>
          <w:rFonts w:eastAsia="仿宋"/>
          <w:sz w:val="28"/>
          <w:szCs w:val="28"/>
        </w:rPr>
        <w:t>（采集地点、购买时间等）可追溯苗种合法性（如是否符合CITES公约及国内许可要求），为养殖过程的合规性提供凭证。个体履历记录则跟踪珊瑚从投放至养殖结束的动态，便于关联生长状态与环境因素（如水质波动对珊瑚健康的影响）。</w:t>
      </w:r>
    </w:p>
    <w:p w14:paraId="2E1E9309">
      <w:pPr>
        <w:tabs>
          <w:tab w:val="center" w:pos="4201"/>
          <w:tab w:val="right" w:leader="dot" w:pos="9298"/>
        </w:tabs>
        <w:ind w:firstLine="562" w:firstLineChars="200"/>
        <w:rPr>
          <w:rFonts w:eastAsia="仿宋"/>
          <w:sz w:val="28"/>
          <w:szCs w:val="28"/>
        </w:rPr>
      </w:pPr>
      <w:r>
        <w:rPr>
          <w:rFonts w:eastAsia="仿宋"/>
          <w:b/>
          <w:bCs/>
          <w:sz w:val="28"/>
          <w:szCs w:val="28"/>
        </w:rPr>
        <w:t>养殖要素的关联性：</w:t>
      </w:r>
      <w:r>
        <w:rPr>
          <w:rFonts w:eastAsia="仿宋"/>
          <w:sz w:val="28"/>
          <w:szCs w:val="28"/>
        </w:rPr>
        <w:t>表格设计覆盖</w:t>
      </w:r>
      <w:r>
        <w:rPr>
          <w:rFonts w:hint="eastAsia" w:eastAsia="仿宋"/>
          <w:sz w:val="28"/>
          <w:szCs w:val="28"/>
        </w:rPr>
        <w:t>“</w:t>
      </w:r>
      <w:r>
        <w:rPr>
          <w:rFonts w:eastAsia="仿宋"/>
          <w:sz w:val="28"/>
          <w:szCs w:val="28"/>
        </w:rPr>
        <w:t>水质-投喂-病害</w:t>
      </w:r>
      <w:r>
        <w:rPr>
          <w:rFonts w:hint="eastAsia" w:eastAsia="仿宋"/>
          <w:sz w:val="28"/>
          <w:szCs w:val="28"/>
        </w:rPr>
        <w:t>”</w:t>
      </w:r>
      <w:r>
        <w:rPr>
          <w:rFonts w:eastAsia="仿宋"/>
          <w:sz w:val="28"/>
          <w:szCs w:val="28"/>
        </w:rPr>
        <w:t>核心环节，依据石珊瑚养殖的生态逻辑——水质指标（温度、盐度等）直接影响珊瑚生理状态，投喂管理（饵料类型、频率）与水质污染风险相关，病害记录（症状、用药）则反映环境调控效果。例如，将</w:t>
      </w:r>
      <w:r>
        <w:rPr>
          <w:rFonts w:hint="eastAsia" w:eastAsia="仿宋"/>
          <w:sz w:val="28"/>
          <w:szCs w:val="28"/>
        </w:rPr>
        <w:t>“</w:t>
      </w:r>
      <w:r>
        <w:rPr>
          <w:rFonts w:eastAsia="仿宋"/>
          <w:sz w:val="28"/>
          <w:szCs w:val="28"/>
        </w:rPr>
        <w:t>硝酸盐浓度</w:t>
      </w:r>
      <w:r>
        <w:rPr>
          <w:rFonts w:hint="eastAsia" w:eastAsia="仿宋"/>
          <w:sz w:val="28"/>
          <w:szCs w:val="28"/>
        </w:rPr>
        <w:t>”</w:t>
      </w:r>
      <w:r>
        <w:rPr>
          <w:rFonts w:eastAsia="仿宋"/>
          <w:sz w:val="28"/>
          <w:szCs w:val="28"/>
        </w:rPr>
        <w:t>与</w:t>
      </w:r>
      <w:r>
        <w:rPr>
          <w:rFonts w:hint="eastAsia" w:eastAsia="仿宋"/>
          <w:sz w:val="28"/>
          <w:szCs w:val="28"/>
        </w:rPr>
        <w:t>“</w:t>
      </w:r>
      <w:r>
        <w:rPr>
          <w:rFonts w:eastAsia="仿宋"/>
          <w:sz w:val="28"/>
          <w:szCs w:val="28"/>
        </w:rPr>
        <w:t>投喂量</w:t>
      </w:r>
      <w:r>
        <w:rPr>
          <w:rFonts w:hint="eastAsia" w:eastAsia="仿宋"/>
          <w:sz w:val="28"/>
          <w:szCs w:val="28"/>
        </w:rPr>
        <w:t>”</w:t>
      </w:r>
      <w:r>
        <w:rPr>
          <w:rFonts w:eastAsia="仿宋"/>
          <w:sz w:val="28"/>
          <w:szCs w:val="28"/>
        </w:rPr>
        <w:t>关联记录，可分析残饵对水质的影响（试验显示投喂量超5%珊瑚体积时，硝酸盐易超标），为优化管理提供数据支撑。</w:t>
      </w:r>
    </w:p>
    <w:p w14:paraId="3F5BBB62">
      <w:pPr>
        <w:tabs>
          <w:tab w:val="center" w:pos="4201"/>
          <w:tab w:val="right" w:leader="dot" w:pos="9298"/>
        </w:tabs>
        <w:ind w:firstLine="562" w:firstLineChars="200"/>
        <w:rPr>
          <w:rFonts w:eastAsia="仿宋"/>
          <w:sz w:val="28"/>
          <w:szCs w:val="28"/>
        </w:rPr>
      </w:pPr>
      <w:r>
        <w:rPr>
          <w:rFonts w:eastAsia="仿宋"/>
          <w:b/>
          <w:bCs/>
          <w:sz w:val="28"/>
          <w:szCs w:val="28"/>
        </w:rPr>
        <w:t>数据完整性与实操性平衡：</w:t>
      </w:r>
      <w:r>
        <w:rPr>
          <w:rFonts w:eastAsia="仿宋"/>
          <w:sz w:val="28"/>
          <w:szCs w:val="28"/>
        </w:rPr>
        <w:t>选取的记录项均为关键要素——水质指标涵盖表A.3中所有建议参数（如钙、镁等），确保与水质调控要求对应；投喂记录聚焦</w:t>
      </w:r>
      <w:r>
        <w:rPr>
          <w:rFonts w:hint="eastAsia" w:eastAsia="仿宋"/>
          <w:sz w:val="28"/>
          <w:szCs w:val="28"/>
        </w:rPr>
        <w:t>“</w:t>
      </w:r>
      <w:r>
        <w:rPr>
          <w:rFonts w:eastAsia="仿宋"/>
          <w:sz w:val="28"/>
          <w:szCs w:val="28"/>
        </w:rPr>
        <w:t>饵料选择</w:t>
      </w:r>
      <w:r>
        <w:rPr>
          <w:rFonts w:hint="eastAsia" w:eastAsia="仿宋"/>
          <w:sz w:val="28"/>
          <w:szCs w:val="28"/>
        </w:rPr>
        <w:t>”“</w:t>
      </w:r>
      <w:r>
        <w:rPr>
          <w:rFonts w:eastAsia="仿宋"/>
          <w:sz w:val="28"/>
          <w:szCs w:val="28"/>
        </w:rPr>
        <w:t>量及频率</w:t>
      </w:r>
      <w:r>
        <w:rPr>
          <w:rFonts w:hint="eastAsia" w:eastAsia="仿宋"/>
          <w:sz w:val="28"/>
          <w:szCs w:val="28"/>
        </w:rPr>
        <w:t>”</w:t>
      </w:r>
      <w:r>
        <w:rPr>
          <w:rFonts w:eastAsia="仿宋"/>
          <w:sz w:val="28"/>
          <w:szCs w:val="28"/>
        </w:rPr>
        <w:t>，直接关联表A.2的喂养规范；病害记录包含</w:t>
      </w:r>
      <w:r>
        <w:rPr>
          <w:rFonts w:hint="eastAsia" w:eastAsia="仿宋"/>
          <w:sz w:val="28"/>
          <w:szCs w:val="28"/>
        </w:rPr>
        <w:t>“</w:t>
      </w:r>
      <w:r>
        <w:rPr>
          <w:rFonts w:eastAsia="仿宋"/>
          <w:sz w:val="28"/>
          <w:szCs w:val="28"/>
        </w:rPr>
        <w:t>病症诊断</w:t>
      </w:r>
      <w:r>
        <w:rPr>
          <w:rFonts w:hint="eastAsia" w:eastAsia="仿宋"/>
          <w:sz w:val="28"/>
          <w:szCs w:val="28"/>
        </w:rPr>
        <w:t>”“</w:t>
      </w:r>
      <w:r>
        <w:rPr>
          <w:rFonts w:eastAsia="仿宋"/>
          <w:sz w:val="28"/>
          <w:szCs w:val="28"/>
        </w:rPr>
        <w:t>用药情况</w:t>
      </w:r>
      <w:r>
        <w:rPr>
          <w:rFonts w:hint="eastAsia" w:eastAsia="仿宋"/>
          <w:sz w:val="28"/>
          <w:szCs w:val="28"/>
        </w:rPr>
        <w:t>”</w:t>
      </w:r>
      <w:r>
        <w:rPr>
          <w:rFonts w:eastAsia="仿宋"/>
          <w:sz w:val="28"/>
          <w:szCs w:val="28"/>
        </w:rPr>
        <w:t>，呼应表A.4的病害处置流程。同时，表格格式简洁，避免冗余项，适配家庭、科研等不同场景的记录需求（如家庭养殖可简化</w:t>
      </w:r>
      <w:r>
        <w:rPr>
          <w:rFonts w:hint="eastAsia" w:eastAsia="仿宋"/>
          <w:sz w:val="28"/>
          <w:szCs w:val="28"/>
        </w:rPr>
        <w:t>“</w:t>
      </w:r>
      <w:r>
        <w:rPr>
          <w:rFonts w:eastAsia="仿宋"/>
          <w:sz w:val="28"/>
          <w:szCs w:val="28"/>
        </w:rPr>
        <w:t>个体履历</w:t>
      </w:r>
      <w:r>
        <w:rPr>
          <w:rFonts w:hint="eastAsia" w:eastAsia="仿宋"/>
          <w:sz w:val="28"/>
          <w:szCs w:val="28"/>
        </w:rPr>
        <w:t>”</w:t>
      </w:r>
      <w:r>
        <w:rPr>
          <w:rFonts w:eastAsia="仿宋"/>
          <w:sz w:val="28"/>
          <w:szCs w:val="28"/>
        </w:rPr>
        <w:t>，科研场景可细化生长数据）。</w:t>
      </w:r>
    </w:p>
    <w:p w14:paraId="210D99E9">
      <w:pPr>
        <w:tabs>
          <w:tab w:val="center" w:pos="4201"/>
          <w:tab w:val="right" w:leader="dot" w:pos="9298"/>
        </w:tabs>
        <w:ind w:firstLine="562" w:firstLineChars="200"/>
        <w:rPr>
          <w:rFonts w:eastAsia="仿宋"/>
          <w:sz w:val="28"/>
          <w:szCs w:val="28"/>
        </w:rPr>
      </w:pPr>
      <w:r>
        <w:rPr>
          <w:rFonts w:eastAsia="仿宋"/>
          <w:b/>
          <w:bCs/>
          <w:sz w:val="28"/>
          <w:szCs w:val="28"/>
        </w:rPr>
        <w:t>标准体系一致性：</w:t>
      </w:r>
      <w:r>
        <w:rPr>
          <w:rFonts w:eastAsia="仿宋"/>
          <w:sz w:val="28"/>
          <w:szCs w:val="28"/>
        </w:rPr>
        <w:t>记录内容与标准其他章节形成闭环——</w:t>
      </w:r>
      <w:r>
        <w:rPr>
          <w:rFonts w:hint="eastAsia" w:eastAsia="仿宋"/>
          <w:sz w:val="28"/>
          <w:szCs w:val="28"/>
        </w:rPr>
        <w:t>“</w:t>
      </w:r>
      <w:r>
        <w:rPr>
          <w:rFonts w:eastAsia="仿宋"/>
          <w:sz w:val="28"/>
          <w:szCs w:val="28"/>
        </w:rPr>
        <w:t>水质记录</w:t>
      </w:r>
      <w:r>
        <w:rPr>
          <w:rFonts w:hint="eastAsia" w:eastAsia="仿宋"/>
          <w:sz w:val="28"/>
          <w:szCs w:val="28"/>
        </w:rPr>
        <w:t>”</w:t>
      </w:r>
      <w:r>
        <w:rPr>
          <w:rFonts w:eastAsia="仿宋"/>
          <w:sz w:val="28"/>
          <w:szCs w:val="28"/>
        </w:rPr>
        <w:t>对应7.2水质调控的监测要求，</w:t>
      </w:r>
      <w:r>
        <w:rPr>
          <w:rFonts w:hint="eastAsia" w:eastAsia="仿宋"/>
          <w:sz w:val="28"/>
          <w:szCs w:val="28"/>
        </w:rPr>
        <w:t>“</w:t>
      </w:r>
      <w:r>
        <w:rPr>
          <w:rFonts w:eastAsia="仿宋"/>
          <w:sz w:val="28"/>
          <w:szCs w:val="28"/>
        </w:rPr>
        <w:t>投喂记录</w:t>
      </w:r>
      <w:r>
        <w:rPr>
          <w:rFonts w:hint="eastAsia" w:eastAsia="仿宋"/>
          <w:sz w:val="28"/>
          <w:szCs w:val="28"/>
        </w:rPr>
        <w:t>”</w:t>
      </w:r>
      <w:r>
        <w:rPr>
          <w:rFonts w:eastAsia="仿宋"/>
          <w:sz w:val="28"/>
          <w:szCs w:val="28"/>
        </w:rPr>
        <w:t>匹配6.3日常喂养的管理要点，</w:t>
      </w:r>
      <w:r>
        <w:rPr>
          <w:rFonts w:hint="eastAsia" w:eastAsia="仿宋"/>
          <w:sz w:val="28"/>
          <w:szCs w:val="28"/>
        </w:rPr>
        <w:t>“</w:t>
      </w:r>
      <w:r>
        <w:rPr>
          <w:rFonts w:eastAsia="仿宋"/>
          <w:sz w:val="28"/>
          <w:szCs w:val="28"/>
        </w:rPr>
        <w:t>病害记录</w:t>
      </w:r>
      <w:r>
        <w:rPr>
          <w:rFonts w:hint="eastAsia" w:eastAsia="仿宋"/>
          <w:sz w:val="28"/>
          <w:szCs w:val="28"/>
        </w:rPr>
        <w:t>”</w:t>
      </w:r>
      <w:r>
        <w:rPr>
          <w:rFonts w:eastAsia="仿宋"/>
          <w:sz w:val="28"/>
          <w:szCs w:val="28"/>
        </w:rPr>
        <w:t>衔接7.3病害防治的处置流程，确保养殖全过程的记录与操作规范一一对应，符合GB/T 1.1—2020中</w:t>
      </w:r>
      <w:r>
        <w:rPr>
          <w:rFonts w:hint="eastAsia" w:eastAsia="仿宋"/>
          <w:sz w:val="28"/>
          <w:szCs w:val="28"/>
        </w:rPr>
        <w:t>“</w:t>
      </w:r>
      <w:r>
        <w:rPr>
          <w:rFonts w:eastAsia="仿宋"/>
          <w:sz w:val="28"/>
          <w:szCs w:val="28"/>
        </w:rPr>
        <w:t>标准内容协调一致</w:t>
      </w:r>
      <w:r>
        <w:rPr>
          <w:rFonts w:hint="eastAsia" w:eastAsia="仿宋"/>
          <w:sz w:val="28"/>
          <w:szCs w:val="28"/>
        </w:rPr>
        <w:t>”</w:t>
      </w:r>
      <w:r>
        <w:rPr>
          <w:rFonts w:eastAsia="仿宋"/>
          <w:sz w:val="28"/>
          <w:szCs w:val="28"/>
        </w:rPr>
        <w:t>的要求。</w:t>
      </w:r>
    </w:p>
    <w:p w14:paraId="3185BBCC">
      <w:pPr>
        <w:rPr>
          <w:rFonts w:eastAsia="仿宋"/>
          <w:b/>
          <w:bCs/>
          <w:sz w:val="28"/>
          <w:szCs w:val="28"/>
        </w:rPr>
      </w:pPr>
      <w:r>
        <w:rPr>
          <w:rFonts w:eastAsia="仿宋"/>
          <w:sz w:val="28"/>
          <w:szCs w:val="28"/>
        </w:rPr>
        <w:t>三、</w:t>
      </w:r>
      <w:r>
        <w:rPr>
          <w:rFonts w:eastAsia="仿宋"/>
          <w:b/>
          <w:bCs/>
          <w:sz w:val="30"/>
          <w:szCs w:val="30"/>
        </w:rPr>
        <w:t>试验验证的分析、综述报告，技术经济论证，预期的经济效益、社会效益和生态效益</w:t>
      </w:r>
    </w:p>
    <w:p w14:paraId="75C31E60">
      <w:pPr>
        <w:rPr>
          <w:rFonts w:eastAsia="仿宋"/>
          <w:b/>
          <w:bCs/>
          <w:sz w:val="28"/>
          <w:szCs w:val="28"/>
        </w:rPr>
      </w:pPr>
      <w:r>
        <w:rPr>
          <w:rFonts w:eastAsia="仿宋"/>
          <w:b/>
          <w:bCs/>
          <w:sz w:val="28"/>
          <w:szCs w:val="28"/>
        </w:rPr>
        <w:t>（一）</w:t>
      </w:r>
      <w:r>
        <w:t xml:space="preserve"> </w:t>
      </w:r>
      <w:r>
        <w:rPr>
          <w:rFonts w:eastAsia="仿宋"/>
          <w:b/>
          <w:bCs/>
          <w:sz w:val="28"/>
          <w:szCs w:val="28"/>
        </w:rPr>
        <w:t>主要试验（或验证）分析、综述</w:t>
      </w:r>
    </w:p>
    <w:p w14:paraId="4B156590">
      <w:pPr>
        <w:ind w:firstLine="560" w:firstLineChars="200"/>
        <w:rPr>
          <w:rFonts w:eastAsia="仿宋"/>
          <w:sz w:val="28"/>
          <w:szCs w:val="28"/>
        </w:rPr>
      </w:pPr>
      <w:r>
        <w:rPr>
          <w:rFonts w:eastAsia="仿宋"/>
          <w:sz w:val="28"/>
          <w:szCs w:val="28"/>
        </w:rPr>
        <w:t>将石珊瑚的养殖条件、养殖方法、维护管理和记录保存等技术要素推广应用，在全国范围内选取了多家具备石珊瑚繁育资质的单位和石珊瑚养殖爱好者进行实验验证，得到的反馈表明《观赏珊瑚养殖技术规范 石珊瑚》建立的养殖技术技术符合石珊瑚水族养殖的实际情况，通过遵循该技术方案可有效地开展石珊瑚养殖，技术思路清晰，可操作性强，可为石珊瑚的水族养殖提供重要技术支撑。</w:t>
      </w:r>
    </w:p>
    <w:p w14:paraId="6AA09DD5">
      <w:r>
        <w:rPr>
          <w:rFonts w:eastAsia="仿宋"/>
          <w:sz w:val="28"/>
          <w:szCs w:val="28"/>
        </w:rPr>
        <w:drawing>
          <wp:inline distT="0" distB="0" distL="114300" distR="114300">
            <wp:extent cx="2600960" cy="1959610"/>
            <wp:effectExtent l="0" t="0" r="2540" b="8890"/>
            <wp:docPr id="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pic:cNvPicPr>
                      <a:picLocks noChangeAspect="1"/>
                    </pic:cNvPicPr>
                  </pic:nvPicPr>
                  <pic:blipFill>
                    <a:blip r:embed="rId5"/>
                    <a:stretch>
                      <a:fillRect/>
                    </a:stretch>
                  </pic:blipFill>
                  <pic:spPr>
                    <a:xfrm>
                      <a:off x="0" y="0"/>
                      <a:ext cx="2600960" cy="1959610"/>
                    </a:xfrm>
                    <a:prstGeom prst="rect">
                      <a:avLst/>
                    </a:prstGeom>
                    <a:noFill/>
                    <a:ln>
                      <a:noFill/>
                    </a:ln>
                  </pic:spPr>
                </pic:pic>
              </a:graphicData>
            </a:graphic>
          </wp:inline>
        </w:drawing>
      </w:r>
      <w:r>
        <w:rPr>
          <w:rFonts w:eastAsia="仿宋"/>
          <w:sz w:val="28"/>
          <w:szCs w:val="28"/>
        </w:rPr>
        <w:drawing>
          <wp:inline distT="0" distB="0" distL="114300" distR="114300">
            <wp:extent cx="2633980" cy="1988185"/>
            <wp:effectExtent l="0" t="0" r="7620" b="5715"/>
            <wp:docPr id="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pic:cNvPicPr>
                      <a:picLocks noChangeAspect="1"/>
                    </pic:cNvPicPr>
                  </pic:nvPicPr>
                  <pic:blipFill>
                    <a:blip r:embed="rId6"/>
                    <a:stretch>
                      <a:fillRect/>
                    </a:stretch>
                  </pic:blipFill>
                  <pic:spPr>
                    <a:xfrm>
                      <a:off x="0" y="0"/>
                      <a:ext cx="2633980" cy="1988185"/>
                    </a:xfrm>
                    <a:prstGeom prst="rect">
                      <a:avLst/>
                    </a:prstGeom>
                    <a:noFill/>
                    <a:ln>
                      <a:noFill/>
                    </a:ln>
                  </pic:spPr>
                </pic:pic>
              </a:graphicData>
            </a:graphic>
          </wp:inline>
        </w:drawing>
      </w:r>
      <w:r>
        <w:rPr>
          <w:rFonts w:eastAsia="仿宋"/>
          <w:sz w:val="28"/>
          <w:szCs w:val="28"/>
        </w:rPr>
        <w:drawing>
          <wp:inline distT="0" distB="0" distL="114300" distR="114300">
            <wp:extent cx="2549525" cy="2126615"/>
            <wp:effectExtent l="0" t="0" r="3175" b="6985"/>
            <wp:docPr id="1"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IMG_256"/>
                    <pic:cNvPicPr>
                      <a:picLocks noChangeAspect="1"/>
                    </pic:cNvPicPr>
                  </pic:nvPicPr>
                  <pic:blipFill>
                    <a:blip r:embed="rId7"/>
                    <a:srcRect l="3999" t="28948" r="28623" b="7279"/>
                    <a:stretch>
                      <a:fillRect/>
                    </a:stretch>
                  </pic:blipFill>
                  <pic:spPr>
                    <a:xfrm>
                      <a:off x="0" y="0"/>
                      <a:ext cx="2549525" cy="2126615"/>
                    </a:xfrm>
                    <a:prstGeom prst="rect">
                      <a:avLst/>
                    </a:prstGeom>
                    <a:noFill/>
                    <a:ln w="9525">
                      <a:noFill/>
                    </a:ln>
                  </pic:spPr>
                </pic:pic>
              </a:graphicData>
            </a:graphic>
          </wp:inline>
        </w:drawing>
      </w:r>
      <w:r>
        <w:rPr>
          <w:rFonts w:eastAsia="仿宋"/>
          <w:sz w:val="28"/>
          <w:szCs w:val="28"/>
        </w:rPr>
        <w:drawing>
          <wp:inline distT="0" distB="0" distL="114300" distR="114300">
            <wp:extent cx="2677160" cy="2085975"/>
            <wp:effectExtent l="0" t="0" r="2540" b="9525"/>
            <wp:docPr id="7"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IMG_256"/>
                    <pic:cNvPicPr>
                      <a:picLocks noChangeAspect="1"/>
                    </pic:cNvPicPr>
                  </pic:nvPicPr>
                  <pic:blipFill>
                    <a:blip r:embed="rId8"/>
                    <a:srcRect l="4051" t="35593" r="27562" b="11080"/>
                    <a:stretch>
                      <a:fillRect/>
                    </a:stretch>
                  </pic:blipFill>
                  <pic:spPr>
                    <a:xfrm>
                      <a:off x="0" y="0"/>
                      <a:ext cx="2677160" cy="2085975"/>
                    </a:xfrm>
                    <a:prstGeom prst="rect">
                      <a:avLst/>
                    </a:prstGeom>
                    <a:noFill/>
                    <a:ln w="9525">
                      <a:noFill/>
                    </a:ln>
                  </pic:spPr>
                </pic:pic>
              </a:graphicData>
            </a:graphic>
          </wp:inline>
        </w:drawing>
      </w:r>
    </w:p>
    <w:p w14:paraId="4E6DD872">
      <w:pPr>
        <w:ind w:firstLine="560" w:firstLineChars="200"/>
        <w:jc w:val="center"/>
      </w:pPr>
      <w:r>
        <w:rPr>
          <w:rFonts w:eastAsia="仿宋"/>
          <w:sz w:val="28"/>
          <w:szCs w:val="28"/>
        </w:rPr>
        <w:t xml:space="preserve">图2 </w:t>
      </w:r>
      <w:r>
        <w:rPr>
          <w:rFonts w:hint="eastAsia" w:eastAsia="仿宋"/>
          <w:sz w:val="28"/>
          <w:szCs w:val="28"/>
        </w:rPr>
        <w:t>观赏石珊瑚</w:t>
      </w:r>
      <w:r>
        <w:rPr>
          <w:rFonts w:eastAsia="仿宋"/>
          <w:sz w:val="28"/>
          <w:szCs w:val="28"/>
        </w:rPr>
        <w:t>养殖案例</w:t>
      </w:r>
    </w:p>
    <w:p w14:paraId="237F5B03">
      <w:pPr>
        <w:rPr>
          <w:rFonts w:eastAsia="仿宋"/>
          <w:sz w:val="28"/>
          <w:szCs w:val="28"/>
        </w:rPr>
      </w:pPr>
      <w:r>
        <w:rPr>
          <w:rFonts w:eastAsia="仿宋"/>
          <w:sz w:val="28"/>
          <w:szCs w:val="28"/>
        </w:rPr>
        <w:t>（二）预期效果</w:t>
      </w:r>
    </w:p>
    <w:p w14:paraId="34E2CBE5">
      <w:pPr>
        <w:ind w:firstLine="560" w:firstLineChars="200"/>
        <w:rPr>
          <w:rFonts w:eastAsia="仿宋"/>
          <w:sz w:val="28"/>
          <w:szCs w:val="28"/>
        </w:rPr>
      </w:pPr>
      <w:r>
        <w:rPr>
          <w:rFonts w:eastAsia="仿宋"/>
          <w:sz w:val="28"/>
          <w:szCs w:val="28"/>
        </w:rPr>
        <w:t>随着观赏珊瑚养殖技术规范 石珊瑚的发展，有利于国内外学者开展石珊瑚的研究工作；有助于推动国内外水族养殖产业的发展；有助于石珊瑚种苗培育技术的发展；更有利于推动珊瑚礁生态系统的修复。由于石珊瑚属于珍稀濒危保护物种，故此国内外学者在开展石珊瑚研究时总是会受限，做好石珊瑚的养殖可方便开展石珊瑚的科学研究。随着我国经济的迅速发展和人民生活水平的提高，高端水族市场发展很快，对观赏珊瑚的需求日益增加。然而，由于我国珊瑚人工繁育工作相对滞后，目前我国观赏珊瑚一部分来源于盗采，从而珊瑚礁环境破坏严重，不利于珊瑚资源及珊瑚礁生物多样性的保护。观赏珊瑚养殖技术规范 石珊瑚的推行，可以建立稳定的海水生态系统，有助于室内人工养殖，满足石珊瑚培育和繁养。因此，当石珊瑚的人工繁育足够成熟，就可以解决石珊瑚种苗来源问题，从而有利于保护石珊瑚不被盗采，推动珊瑚礁生态系统修复工程的实施。</w:t>
      </w:r>
    </w:p>
    <w:p w14:paraId="612BC62E">
      <w:pPr>
        <w:numPr>
          <w:ilvl w:val="0"/>
          <w:numId w:val="6"/>
        </w:numPr>
        <w:rPr>
          <w:rFonts w:eastAsia="仿宋"/>
          <w:b/>
          <w:bCs/>
          <w:sz w:val="30"/>
          <w:szCs w:val="30"/>
        </w:rPr>
      </w:pPr>
      <w:r>
        <w:rPr>
          <w:rFonts w:eastAsia="仿宋"/>
          <w:b/>
          <w:bCs/>
          <w:sz w:val="30"/>
          <w:szCs w:val="30"/>
        </w:rPr>
        <w:t>技术经济论证</w:t>
      </w:r>
    </w:p>
    <w:p w14:paraId="7E29D2A5">
      <w:pPr>
        <w:ind w:firstLine="560" w:firstLineChars="200"/>
        <w:rPr>
          <w:rFonts w:eastAsia="仿宋"/>
          <w:sz w:val="28"/>
          <w:szCs w:val="28"/>
        </w:rPr>
      </w:pPr>
      <w:r>
        <w:rPr>
          <w:rFonts w:eastAsia="仿宋"/>
          <w:sz w:val="28"/>
          <w:szCs w:val="28"/>
        </w:rPr>
        <w:t>编制单位在海南省海洋与渔业科学院的曲口基地长期开展石珊瑚的室内养殖扩繁，通过母体切割、基座固着、环境调控等手段，每年约扩繁</w:t>
      </w:r>
      <w:r>
        <w:rPr>
          <w:color w:val="000000"/>
          <w:sz w:val="28"/>
          <w:szCs w:val="28"/>
          <w:lang w:bidi="ar"/>
        </w:rPr>
        <w:t>2000株</w:t>
      </w:r>
      <w:r>
        <w:rPr>
          <w:rFonts w:eastAsia="仿宋"/>
          <w:sz w:val="28"/>
          <w:szCs w:val="28"/>
        </w:rPr>
        <w:t>珊瑚苗种，培育的珊瑚苗种可投入到珊瑚礁生态修复项目，目前技术方法已相对成熟。</w:t>
      </w:r>
    </w:p>
    <w:p w14:paraId="53BB8777">
      <w:pPr>
        <w:ind w:firstLine="420" w:firstLineChars="200"/>
      </w:pPr>
      <w:r>
        <w:drawing>
          <wp:inline distT="0" distB="0" distL="114300" distR="114300">
            <wp:extent cx="2499360" cy="1733550"/>
            <wp:effectExtent l="0" t="0" r="2540" b="6350"/>
            <wp:docPr id="11" name="图片 10" descr="微信图片_20220218181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微信图片_20220218181700"/>
                    <pic:cNvPicPr>
                      <a:picLocks noChangeAspect="1"/>
                    </pic:cNvPicPr>
                  </pic:nvPicPr>
                  <pic:blipFill>
                    <a:blip r:embed="rId9"/>
                    <a:stretch>
                      <a:fillRect/>
                    </a:stretch>
                  </pic:blipFill>
                  <pic:spPr>
                    <a:xfrm>
                      <a:off x="0" y="0"/>
                      <a:ext cx="2499360" cy="1733550"/>
                    </a:xfrm>
                    <a:prstGeom prst="rect">
                      <a:avLst/>
                    </a:prstGeom>
                  </pic:spPr>
                </pic:pic>
              </a:graphicData>
            </a:graphic>
          </wp:inline>
        </w:drawing>
      </w:r>
      <w:r>
        <w:drawing>
          <wp:inline distT="0" distB="0" distL="114300" distR="114300">
            <wp:extent cx="2360295" cy="1733550"/>
            <wp:effectExtent l="0" t="0" r="1905" b="6350"/>
            <wp:docPr id="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10"/>
                    <a:stretch>
                      <a:fillRect/>
                    </a:stretch>
                  </pic:blipFill>
                  <pic:spPr>
                    <a:xfrm>
                      <a:off x="0" y="0"/>
                      <a:ext cx="2360295" cy="1733550"/>
                    </a:xfrm>
                    <a:prstGeom prst="rect">
                      <a:avLst/>
                    </a:prstGeom>
                  </pic:spPr>
                </pic:pic>
              </a:graphicData>
            </a:graphic>
          </wp:inline>
        </w:drawing>
      </w:r>
    </w:p>
    <w:p w14:paraId="52B1BCFF">
      <w:pPr>
        <w:ind w:firstLine="560" w:firstLineChars="200"/>
        <w:jc w:val="center"/>
      </w:pPr>
      <w:r>
        <w:rPr>
          <w:rFonts w:eastAsia="仿宋"/>
          <w:sz w:val="28"/>
          <w:szCs w:val="28"/>
        </w:rPr>
        <w:t>图3 繁育的石珊瑚应用于生态修复</w:t>
      </w:r>
    </w:p>
    <w:p w14:paraId="204758B3">
      <w:pPr>
        <w:ind w:firstLine="560" w:firstLineChars="200"/>
        <w:rPr>
          <w:rFonts w:eastAsia="仿宋"/>
          <w:sz w:val="28"/>
          <w:szCs w:val="28"/>
        </w:rPr>
      </w:pPr>
      <w:r>
        <w:rPr>
          <w:rFonts w:eastAsia="仿宋"/>
          <w:sz w:val="28"/>
          <w:szCs w:val="28"/>
        </w:rPr>
        <w:t>以广东省每年1000个缸（中型缸-600 L水体）的需求，按照10万元/每缸的市场价算，年产值至少在5000万以上，如果算上系统建成后长期的维护费用以及珊瑚养殖周边产品的销售（海水盐、珊瑚粮、活石以及其它养殖硬件设备等），经济效益更高。放在中国这个巨大的市场当中，其潜在的经济效益更大。因此，该技术的突破有助于相关产业链的完善，具有较强的经济效益。</w:t>
      </w:r>
    </w:p>
    <w:p w14:paraId="64428B18">
      <w:pPr>
        <w:rPr>
          <w:rFonts w:eastAsia="仿宋"/>
          <w:b/>
          <w:bCs/>
          <w:sz w:val="28"/>
          <w:szCs w:val="28"/>
        </w:rPr>
      </w:pPr>
      <w:r>
        <w:rPr>
          <w:rFonts w:eastAsia="仿宋"/>
          <w:b/>
          <w:bCs/>
          <w:sz w:val="28"/>
          <w:szCs w:val="28"/>
        </w:rPr>
        <w:t>四、与国际、国外同类标准技术内容的对比情况，或者与测试的国外样品、样机的有关数据对比情况</w:t>
      </w:r>
    </w:p>
    <w:p w14:paraId="6D8F630E">
      <w:pPr>
        <w:ind w:firstLine="560" w:firstLineChars="200"/>
        <w:rPr>
          <w:rFonts w:eastAsia="仿宋"/>
          <w:sz w:val="28"/>
          <w:szCs w:val="28"/>
        </w:rPr>
      </w:pPr>
      <w:r>
        <w:rPr>
          <w:rFonts w:eastAsia="仿宋"/>
          <w:sz w:val="28"/>
          <w:szCs w:val="28"/>
        </w:rPr>
        <w:t>目前国际及国外尚未发布专门针对</w:t>
      </w:r>
      <w:r>
        <w:rPr>
          <w:rFonts w:hint="eastAsia" w:eastAsia="仿宋"/>
          <w:sz w:val="28"/>
          <w:szCs w:val="28"/>
        </w:rPr>
        <w:t>“</w:t>
      </w:r>
      <w:r>
        <w:rPr>
          <w:rFonts w:eastAsia="仿宋"/>
          <w:sz w:val="28"/>
          <w:szCs w:val="28"/>
        </w:rPr>
        <w:t>观赏石珊瑚养殖</w:t>
      </w:r>
      <w:r>
        <w:rPr>
          <w:rFonts w:hint="eastAsia" w:eastAsia="仿宋"/>
          <w:sz w:val="28"/>
          <w:szCs w:val="28"/>
        </w:rPr>
        <w:t>”</w:t>
      </w:r>
      <w:r>
        <w:rPr>
          <w:rFonts w:eastAsia="仿宋"/>
          <w:sz w:val="28"/>
          <w:szCs w:val="28"/>
        </w:rPr>
        <w:t>的专项标准，相关技术要求散见于水产养殖通用标准（如 ISO 11783《水产养殖环境管理规范》）、区域性指南（如美国海水养殖协会 ASWM《珊瑚礁水族养殖指南》）及行业实践手册（如澳大利亚《海洋观赏生物养殖技术手册》）中。目前尚未检索到与本文件等同或等效的国际标准。</w:t>
      </w:r>
      <w:r>
        <w:rPr>
          <w:rFonts w:eastAsia="仿宋"/>
          <w:sz w:val="28"/>
          <w:szCs w:val="28"/>
          <w:lang w:val="zh-CN"/>
        </w:rPr>
        <w:t>在</w:t>
      </w:r>
      <w:r>
        <w:rPr>
          <w:rFonts w:eastAsia="仿宋"/>
          <w:sz w:val="28"/>
          <w:szCs w:val="28"/>
        </w:rPr>
        <w:t>国际、国</w:t>
      </w:r>
      <w:r>
        <w:rPr>
          <w:rFonts w:eastAsia="仿宋"/>
          <w:sz w:val="28"/>
          <w:szCs w:val="28"/>
          <w:lang w:val="zh-CN"/>
        </w:rPr>
        <w:t>内</w:t>
      </w:r>
      <w:r>
        <w:rPr>
          <w:rFonts w:eastAsia="仿宋"/>
          <w:sz w:val="28"/>
          <w:szCs w:val="28"/>
        </w:rPr>
        <w:t>外</w:t>
      </w:r>
      <w:r>
        <w:rPr>
          <w:rFonts w:eastAsia="仿宋"/>
          <w:sz w:val="28"/>
          <w:szCs w:val="28"/>
          <w:lang w:val="zh-CN"/>
        </w:rPr>
        <w:t>尚属首次编制，填补了</w:t>
      </w:r>
      <w:r>
        <w:rPr>
          <w:rFonts w:eastAsia="仿宋"/>
          <w:sz w:val="28"/>
          <w:szCs w:val="28"/>
        </w:rPr>
        <w:t>该领域的</w:t>
      </w:r>
      <w:r>
        <w:rPr>
          <w:rFonts w:eastAsia="仿宋"/>
          <w:sz w:val="28"/>
          <w:szCs w:val="28"/>
          <w:lang w:val="zh-CN"/>
        </w:rPr>
        <w:t>空白。</w:t>
      </w:r>
    </w:p>
    <w:p w14:paraId="06AE25DC">
      <w:pPr>
        <w:rPr>
          <w:rFonts w:eastAsia="仿宋"/>
          <w:b/>
          <w:bCs/>
          <w:sz w:val="28"/>
          <w:szCs w:val="28"/>
        </w:rPr>
      </w:pPr>
      <w:r>
        <w:rPr>
          <w:rFonts w:eastAsia="仿宋"/>
          <w:b/>
          <w:bCs/>
          <w:sz w:val="28"/>
          <w:szCs w:val="28"/>
        </w:rPr>
        <w:t>五、以国际标准为基础的起草情况，以及是否合规引用或者采用国际国外标准，并说明未采用国际标准的原因</w:t>
      </w:r>
    </w:p>
    <w:p w14:paraId="5677E1EE">
      <w:pPr>
        <w:ind w:firstLine="560" w:firstLineChars="200"/>
        <w:rPr>
          <w:rFonts w:eastAsia="仿宋"/>
          <w:sz w:val="28"/>
          <w:szCs w:val="28"/>
        </w:rPr>
      </w:pPr>
      <w:r>
        <w:rPr>
          <w:rFonts w:eastAsia="仿宋"/>
          <w:sz w:val="28"/>
          <w:szCs w:val="28"/>
        </w:rPr>
        <w:t>本标准在起草过程中参考了国际标准化组织（ISO）、《濒危野生动植物种国际贸易公约》（CITES）等国际文件的通用原则，但未直接采用或全文引用国际国外专项标准</w:t>
      </w:r>
      <w:r>
        <w:rPr>
          <w:rFonts w:hint="eastAsia" w:eastAsia="仿宋"/>
          <w:sz w:val="28"/>
          <w:szCs w:val="28"/>
        </w:rPr>
        <w:t>。</w:t>
      </w:r>
      <w:r>
        <w:rPr>
          <w:rFonts w:eastAsia="仿宋"/>
          <w:sz w:val="28"/>
          <w:szCs w:val="28"/>
        </w:rPr>
        <w:t>合规引用CITES 公约对濒危珊瑚物种贸易的管理要求，在</w:t>
      </w:r>
      <w:r>
        <w:rPr>
          <w:rFonts w:hint="eastAsia" w:eastAsia="仿宋"/>
          <w:sz w:val="28"/>
          <w:szCs w:val="28"/>
        </w:rPr>
        <w:t>“</w:t>
      </w:r>
      <w:r>
        <w:rPr>
          <w:rFonts w:eastAsia="仿宋"/>
          <w:sz w:val="28"/>
          <w:szCs w:val="28"/>
        </w:rPr>
        <w:t>苗种获取</w:t>
      </w:r>
      <w:r>
        <w:rPr>
          <w:rFonts w:hint="eastAsia" w:eastAsia="仿宋"/>
          <w:sz w:val="28"/>
          <w:szCs w:val="28"/>
        </w:rPr>
        <w:t>”</w:t>
      </w:r>
      <w:r>
        <w:rPr>
          <w:rFonts w:eastAsia="仿宋"/>
          <w:sz w:val="28"/>
          <w:szCs w:val="28"/>
        </w:rPr>
        <w:t>章节明确进口需持有《CITES 允许进出口证明书》，与国际公约对附录 Ⅱ 珊瑚物种的管控要求保持一致，确保跨境养殖活动的合规性。</w:t>
      </w:r>
    </w:p>
    <w:p w14:paraId="73337CE7">
      <w:pPr>
        <w:ind w:firstLine="560" w:firstLineChars="200"/>
        <w:rPr>
          <w:rFonts w:eastAsia="仿宋"/>
          <w:b/>
          <w:bCs/>
          <w:sz w:val="28"/>
          <w:szCs w:val="28"/>
        </w:rPr>
      </w:pPr>
      <w:r>
        <w:rPr>
          <w:rFonts w:eastAsia="仿宋"/>
          <w:sz w:val="28"/>
          <w:szCs w:val="28"/>
        </w:rPr>
        <w:t>未采用国际国外专项标准</w:t>
      </w:r>
      <w:r>
        <w:rPr>
          <w:rFonts w:hint="eastAsia" w:eastAsia="仿宋"/>
          <w:sz w:val="28"/>
          <w:szCs w:val="28"/>
        </w:rPr>
        <w:t>，</w:t>
      </w:r>
      <w:r>
        <w:rPr>
          <w:rFonts w:eastAsia="仿宋"/>
          <w:sz w:val="28"/>
          <w:szCs w:val="28"/>
        </w:rPr>
        <w:t>目前国际上尚无针对</w:t>
      </w:r>
      <w:r>
        <w:rPr>
          <w:rFonts w:hint="eastAsia" w:eastAsia="仿宋"/>
          <w:sz w:val="28"/>
          <w:szCs w:val="28"/>
        </w:rPr>
        <w:t>“</w:t>
      </w:r>
      <w:r>
        <w:rPr>
          <w:rFonts w:eastAsia="仿宋"/>
          <w:sz w:val="28"/>
          <w:szCs w:val="28"/>
        </w:rPr>
        <w:t>观赏石珊瑚养殖</w:t>
      </w:r>
      <w:r>
        <w:rPr>
          <w:rFonts w:hint="eastAsia" w:eastAsia="仿宋"/>
          <w:sz w:val="28"/>
          <w:szCs w:val="28"/>
        </w:rPr>
        <w:t>”</w:t>
      </w:r>
      <w:r>
        <w:rPr>
          <w:rFonts w:eastAsia="仿宋"/>
          <w:sz w:val="28"/>
          <w:szCs w:val="28"/>
        </w:rPr>
        <w:t>的专项标准，相关内容多分散于通用水产标准或区域性指南中，综上，本标准在合规性框架上与国际公约保持一致，在技术原则上参考国际通用成果，但因国际专项标准缺失及地域、场景差异，未直接采用国际国外标准，而是基于国内实际需求构建了更具针对性的技术体系。</w:t>
      </w:r>
    </w:p>
    <w:p w14:paraId="0EB3D4AE">
      <w:pPr>
        <w:rPr>
          <w:rFonts w:eastAsia="仿宋"/>
          <w:b/>
          <w:bCs/>
          <w:sz w:val="28"/>
          <w:szCs w:val="28"/>
        </w:rPr>
      </w:pPr>
      <w:r>
        <w:rPr>
          <w:rFonts w:eastAsia="仿宋"/>
          <w:b/>
          <w:bCs/>
          <w:sz w:val="28"/>
          <w:szCs w:val="28"/>
        </w:rPr>
        <w:t>六、与有关</w:t>
      </w:r>
      <w:bookmarkStart w:id="13" w:name="_Hlk202426712"/>
      <w:r>
        <w:rPr>
          <w:rFonts w:eastAsia="仿宋"/>
          <w:b/>
          <w:bCs/>
          <w:sz w:val="28"/>
          <w:szCs w:val="28"/>
        </w:rPr>
        <w:t>法律、行政法规及相关标准</w:t>
      </w:r>
      <w:bookmarkEnd w:id="13"/>
      <w:r>
        <w:rPr>
          <w:rFonts w:eastAsia="仿宋"/>
          <w:b/>
          <w:bCs/>
          <w:sz w:val="28"/>
          <w:szCs w:val="28"/>
        </w:rPr>
        <w:t>的关系。</w:t>
      </w:r>
    </w:p>
    <w:p w14:paraId="176F02D1">
      <w:pPr>
        <w:ind w:firstLine="560" w:firstLineChars="200"/>
        <w:rPr>
          <w:rFonts w:eastAsia="仿宋"/>
          <w:sz w:val="28"/>
          <w:szCs w:val="28"/>
        </w:rPr>
      </w:pPr>
      <w:r>
        <w:rPr>
          <w:rFonts w:eastAsia="仿宋"/>
          <w:sz w:val="28"/>
          <w:szCs w:val="28"/>
        </w:rPr>
        <w:t>本标准是依据《中华人民共和国海洋环境保护法》、《中华人民共和国标准化法》、《中华人民共和国野生动物保护法》、《海南省珊瑚礁保护规定》、《海南省珊瑚礁和砗磲保护规定》和《海南省海洋环境保护规定》等有关法律、法规和规范性文件制定的，是相关法律、法规和标准的细化和补充。与本标准密切相关的几个标准的关系如下：</w:t>
      </w:r>
    </w:p>
    <w:p w14:paraId="24F9ECB2">
      <w:pPr>
        <w:ind w:firstLine="560" w:firstLineChars="200"/>
        <w:rPr>
          <w:rFonts w:eastAsia="仿宋"/>
          <w:sz w:val="28"/>
          <w:szCs w:val="28"/>
        </w:rPr>
      </w:pPr>
      <w:r>
        <w:rPr>
          <w:rFonts w:eastAsia="仿宋"/>
          <w:sz w:val="28"/>
          <w:szCs w:val="28"/>
        </w:rPr>
        <w:t>《中华人民共和国野生动物保护法》：标准中</w:t>
      </w:r>
      <w:r>
        <w:rPr>
          <w:rFonts w:hint="eastAsia" w:eastAsia="仿宋"/>
          <w:sz w:val="28"/>
          <w:szCs w:val="28"/>
        </w:rPr>
        <w:t>“</w:t>
      </w:r>
      <w:r>
        <w:rPr>
          <w:rFonts w:eastAsia="仿宋"/>
          <w:sz w:val="28"/>
          <w:szCs w:val="28"/>
        </w:rPr>
        <w:t>苗种获取</w:t>
      </w:r>
      <w:r>
        <w:rPr>
          <w:rFonts w:hint="eastAsia" w:eastAsia="仿宋"/>
          <w:sz w:val="28"/>
          <w:szCs w:val="28"/>
        </w:rPr>
        <w:t>”</w:t>
      </w:r>
      <w:r>
        <w:rPr>
          <w:rFonts w:eastAsia="仿宋"/>
          <w:sz w:val="28"/>
          <w:szCs w:val="28"/>
        </w:rPr>
        <w:t>章节明确要求苗种来源需具备《水生野生动物经营利用许可证》《人工繁育许可证》《特许捕捉证》等资质，直接呼应该法第</w:t>
      </w:r>
      <w:r>
        <w:rPr>
          <w:rFonts w:hint="eastAsia" w:eastAsia="仿宋"/>
          <w:sz w:val="28"/>
          <w:szCs w:val="28"/>
        </w:rPr>
        <w:t>”</w:t>
      </w:r>
      <w:r>
        <w:rPr>
          <w:rFonts w:eastAsia="仿宋"/>
          <w:sz w:val="28"/>
          <w:szCs w:val="28"/>
        </w:rPr>
        <w:t>28</w:t>
      </w:r>
      <w:r>
        <w:rPr>
          <w:rFonts w:hint="eastAsia" w:eastAsia="仿宋"/>
          <w:sz w:val="28"/>
          <w:szCs w:val="28"/>
        </w:rPr>
        <w:t>”</w:t>
      </w:r>
      <w:r>
        <w:rPr>
          <w:rFonts w:eastAsia="仿宋"/>
          <w:sz w:val="28"/>
          <w:szCs w:val="28"/>
        </w:rPr>
        <w:t>条</w:t>
      </w:r>
      <w:r>
        <w:rPr>
          <w:rFonts w:hint="eastAsia" w:eastAsia="仿宋"/>
          <w:sz w:val="28"/>
          <w:szCs w:val="28"/>
        </w:rPr>
        <w:t>“</w:t>
      </w:r>
      <w:r>
        <w:rPr>
          <w:rFonts w:eastAsia="仿宋"/>
          <w:sz w:val="28"/>
          <w:szCs w:val="28"/>
        </w:rPr>
        <w:t>人工繁育国家重点保护野生动物需取得人工繁育许可证</w:t>
      </w:r>
      <w:r>
        <w:rPr>
          <w:rFonts w:hint="eastAsia" w:eastAsia="仿宋"/>
          <w:sz w:val="28"/>
          <w:szCs w:val="28"/>
        </w:rPr>
        <w:t>”</w:t>
      </w:r>
      <w:r>
        <w:rPr>
          <w:rFonts w:eastAsia="仿宋"/>
          <w:sz w:val="28"/>
          <w:szCs w:val="28"/>
        </w:rPr>
        <w:t>及第</w:t>
      </w:r>
      <w:r>
        <w:rPr>
          <w:rFonts w:hint="eastAsia" w:eastAsia="仿宋"/>
          <w:sz w:val="28"/>
          <w:szCs w:val="28"/>
        </w:rPr>
        <w:t>”</w:t>
      </w:r>
      <w:r>
        <w:rPr>
          <w:rFonts w:eastAsia="仿宋"/>
          <w:sz w:val="28"/>
          <w:szCs w:val="28"/>
        </w:rPr>
        <w:t>32</w:t>
      </w:r>
      <w:r>
        <w:rPr>
          <w:rFonts w:hint="eastAsia" w:eastAsia="仿宋"/>
          <w:sz w:val="28"/>
          <w:szCs w:val="28"/>
        </w:rPr>
        <w:t>”</w:t>
      </w:r>
      <w:r>
        <w:rPr>
          <w:rFonts w:eastAsia="仿宋"/>
          <w:sz w:val="28"/>
          <w:szCs w:val="28"/>
        </w:rPr>
        <w:t>条</w:t>
      </w:r>
      <w:r>
        <w:rPr>
          <w:rFonts w:hint="eastAsia" w:eastAsia="仿宋"/>
          <w:sz w:val="28"/>
          <w:szCs w:val="28"/>
        </w:rPr>
        <w:t>“</w:t>
      </w:r>
      <w:r>
        <w:rPr>
          <w:rFonts w:eastAsia="仿宋"/>
          <w:sz w:val="28"/>
          <w:szCs w:val="28"/>
        </w:rPr>
        <w:t>经营利用需取得经营利用许可证</w:t>
      </w:r>
      <w:r>
        <w:rPr>
          <w:rFonts w:hint="eastAsia" w:eastAsia="仿宋"/>
          <w:sz w:val="28"/>
          <w:szCs w:val="28"/>
        </w:rPr>
        <w:t>”</w:t>
      </w:r>
      <w:r>
        <w:rPr>
          <w:rFonts w:eastAsia="仿宋"/>
          <w:sz w:val="28"/>
          <w:szCs w:val="28"/>
        </w:rPr>
        <w:t>的规定，确保养殖全流程合法合规。</w:t>
      </w:r>
    </w:p>
    <w:p w14:paraId="1D24D1BE">
      <w:pPr>
        <w:ind w:firstLine="560" w:firstLineChars="200"/>
        <w:rPr>
          <w:rFonts w:eastAsia="仿宋"/>
          <w:sz w:val="28"/>
          <w:szCs w:val="28"/>
        </w:rPr>
      </w:pPr>
      <w:r>
        <w:rPr>
          <w:rFonts w:eastAsia="仿宋"/>
          <w:sz w:val="28"/>
          <w:szCs w:val="28"/>
        </w:rPr>
        <w:t>《中华人民共和国标准化法》：标准的结构框架（范围、规范性引用文件、术语定义等）及编制流程（征求意见、试验验证、专家评审）严格遵循该法及</w:t>
      </w:r>
      <w:r>
        <w:rPr>
          <w:rFonts w:hint="eastAsia" w:eastAsia="仿宋"/>
          <w:sz w:val="28"/>
          <w:szCs w:val="28"/>
        </w:rPr>
        <w:t>”</w:t>
      </w:r>
      <w:r>
        <w:rPr>
          <w:rFonts w:eastAsia="仿宋"/>
          <w:sz w:val="28"/>
          <w:szCs w:val="28"/>
        </w:rPr>
        <w:t>GB/T 1.1—2020</w:t>
      </w:r>
      <w:r>
        <w:rPr>
          <w:rFonts w:hint="eastAsia" w:eastAsia="仿宋"/>
          <w:sz w:val="28"/>
          <w:szCs w:val="28"/>
        </w:rPr>
        <w:t>”</w:t>
      </w:r>
      <w:r>
        <w:rPr>
          <w:rFonts w:eastAsia="仿宋"/>
          <w:sz w:val="28"/>
          <w:szCs w:val="28"/>
        </w:rPr>
        <w:t>的要求，确保标准本身的制定程序合法、内容规范。</w:t>
      </w:r>
    </w:p>
    <w:p w14:paraId="46B1EF8C">
      <w:pPr>
        <w:ind w:firstLine="560" w:firstLineChars="200"/>
        <w:rPr>
          <w:rFonts w:eastAsia="仿宋"/>
          <w:sz w:val="28"/>
          <w:szCs w:val="28"/>
        </w:rPr>
      </w:pPr>
      <w:r>
        <w:rPr>
          <w:rFonts w:eastAsia="仿宋"/>
          <w:sz w:val="28"/>
          <w:szCs w:val="28"/>
        </w:rPr>
        <w:t>《中华人民共和国海洋环境保护法》：标准中</w:t>
      </w:r>
      <w:r>
        <w:rPr>
          <w:rFonts w:hint="eastAsia" w:eastAsia="仿宋"/>
          <w:sz w:val="28"/>
          <w:szCs w:val="28"/>
        </w:rPr>
        <w:t>“</w:t>
      </w:r>
      <w:r>
        <w:rPr>
          <w:rFonts w:eastAsia="仿宋"/>
          <w:sz w:val="28"/>
          <w:szCs w:val="28"/>
        </w:rPr>
        <w:t>水质调控”“废水排放隐含要求”（如通过换水、过滤减少污染物）与该法</w:t>
      </w:r>
      <w:r>
        <w:rPr>
          <w:rFonts w:hint="eastAsia" w:eastAsia="仿宋"/>
          <w:sz w:val="28"/>
          <w:szCs w:val="28"/>
        </w:rPr>
        <w:t>“</w:t>
      </w:r>
      <w:r>
        <w:rPr>
          <w:rFonts w:eastAsia="仿宋"/>
          <w:sz w:val="28"/>
          <w:szCs w:val="28"/>
        </w:rPr>
        <w:t>防止养殖污染海洋环境</w:t>
      </w:r>
      <w:r>
        <w:rPr>
          <w:rFonts w:hint="eastAsia" w:eastAsia="仿宋"/>
          <w:sz w:val="28"/>
          <w:szCs w:val="28"/>
        </w:rPr>
        <w:t>”</w:t>
      </w:r>
      <w:r>
        <w:rPr>
          <w:rFonts w:eastAsia="仿宋"/>
          <w:sz w:val="28"/>
          <w:szCs w:val="28"/>
        </w:rPr>
        <w:t>的规定相衔接，间接支撑海洋生态保护。</w:t>
      </w:r>
    </w:p>
    <w:p w14:paraId="5B840993">
      <w:pPr>
        <w:ind w:firstLine="560" w:firstLineChars="200"/>
        <w:rPr>
          <w:rFonts w:eastAsia="仿宋"/>
          <w:sz w:val="28"/>
          <w:szCs w:val="28"/>
        </w:rPr>
      </w:pPr>
      <w:r>
        <w:rPr>
          <w:rFonts w:eastAsia="仿宋"/>
          <w:sz w:val="28"/>
          <w:szCs w:val="28"/>
        </w:rPr>
        <w:t>GB/T 1.1—2020《标准化工作导则 第 1 部分：标准化文件的结构和起草规则》：本标准的章节设置、术语定义规则、附录格式等均以此为依据，确保文件结构规范、表述严谨，符合国家标准制定的通用要求。</w:t>
      </w:r>
    </w:p>
    <w:p w14:paraId="2AFA8F83">
      <w:pPr>
        <w:ind w:firstLine="560" w:firstLineChars="200"/>
        <w:rPr>
          <w:rFonts w:eastAsia="仿宋"/>
          <w:sz w:val="28"/>
          <w:szCs w:val="28"/>
        </w:rPr>
      </w:pPr>
      <w:r>
        <w:rPr>
          <w:rFonts w:eastAsia="仿宋"/>
          <w:sz w:val="28"/>
          <w:szCs w:val="28"/>
        </w:rPr>
        <w:t>GB 17378.4-2007《海洋监测规范 第 4 部分：海水分析》：标准中水质指标（如铵、碱度）的测定方式直接引用该标准的检测方法，确保水质数据的准确性与可比性，与海洋监测领域的权威标准保持一致。</w:t>
      </w:r>
    </w:p>
    <w:p w14:paraId="6BB10017">
      <w:pPr>
        <w:ind w:firstLine="560" w:firstLineChars="200"/>
        <w:rPr>
          <w:rFonts w:eastAsia="仿宋"/>
          <w:sz w:val="28"/>
          <w:szCs w:val="28"/>
        </w:rPr>
      </w:pPr>
      <w:r>
        <w:rPr>
          <w:rFonts w:eastAsia="仿宋"/>
          <w:sz w:val="28"/>
          <w:szCs w:val="28"/>
        </w:rPr>
        <w:t>NY 5052《无公害食品 海水养殖用水水质》：本标准的水质参数（如温度、盐度、溶解氧）以该标准为底线，在此基础上结合石珊瑚特异性需求细化（如将硝酸盐限值从 NY 5052</w:t>
      </w:r>
      <w:r>
        <w:rPr>
          <w:rFonts w:hint="eastAsia" w:eastAsia="仿宋"/>
          <w:sz w:val="28"/>
          <w:szCs w:val="28"/>
        </w:rPr>
        <w:t>”</w:t>
      </w:r>
      <w:r>
        <w:rPr>
          <w:rFonts w:eastAsia="仿宋"/>
          <w:sz w:val="28"/>
          <w:szCs w:val="28"/>
        </w:rPr>
        <w:t>的</w:t>
      </w:r>
      <w:r>
        <w:rPr>
          <w:rFonts w:hint="eastAsia" w:eastAsia="仿宋"/>
          <w:sz w:val="28"/>
          <w:szCs w:val="28"/>
        </w:rPr>
        <w:t>“</w:t>
      </w:r>
      <w:r>
        <w:rPr>
          <w:rFonts w:eastAsia="仿宋"/>
          <w:sz w:val="28"/>
          <w:szCs w:val="28"/>
        </w:rPr>
        <w:t>≤5mg/L</w:t>
      </w:r>
      <w:r>
        <w:rPr>
          <w:rFonts w:hint="eastAsia" w:eastAsia="仿宋"/>
          <w:sz w:val="28"/>
          <w:szCs w:val="28"/>
        </w:rPr>
        <w:t>”</w:t>
      </w:r>
      <w:r>
        <w:rPr>
          <w:rFonts w:eastAsia="仿宋"/>
          <w:sz w:val="28"/>
          <w:szCs w:val="28"/>
        </w:rPr>
        <w:t>收紧至</w:t>
      </w:r>
      <w:r>
        <w:rPr>
          <w:rFonts w:hint="eastAsia" w:eastAsia="仿宋"/>
          <w:sz w:val="28"/>
          <w:szCs w:val="28"/>
        </w:rPr>
        <w:t>“</w:t>
      </w:r>
      <w:r>
        <w:rPr>
          <w:rFonts w:eastAsia="仿宋"/>
          <w:sz w:val="28"/>
          <w:szCs w:val="28"/>
        </w:rPr>
        <w:t>1-3ppm”），既满足无公害养殖要求，又适配珊瑚敏感特性。</w:t>
      </w:r>
    </w:p>
    <w:p w14:paraId="2DAD042E">
      <w:pPr>
        <w:ind w:firstLine="560" w:firstLineChars="200"/>
        <w:rPr>
          <w:rFonts w:eastAsia="仿宋"/>
          <w:sz w:val="28"/>
          <w:szCs w:val="28"/>
        </w:rPr>
      </w:pPr>
      <w:r>
        <w:rPr>
          <w:rFonts w:eastAsia="仿宋"/>
          <w:sz w:val="28"/>
          <w:szCs w:val="28"/>
        </w:rPr>
        <w:t>本标准以法律、行政法规为</w:t>
      </w:r>
      <w:r>
        <w:rPr>
          <w:rFonts w:hint="eastAsia" w:eastAsia="仿宋"/>
          <w:sz w:val="28"/>
          <w:szCs w:val="28"/>
        </w:rPr>
        <w:t>“</w:t>
      </w:r>
      <w:r>
        <w:rPr>
          <w:rFonts w:eastAsia="仿宋"/>
          <w:sz w:val="28"/>
          <w:szCs w:val="28"/>
        </w:rPr>
        <w:t>红线”，确保养殖行为不触碰合规底线；以相关国家标准、行业标准为</w:t>
      </w:r>
      <w:r>
        <w:rPr>
          <w:rFonts w:hint="eastAsia" w:eastAsia="仿宋"/>
          <w:sz w:val="28"/>
          <w:szCs w:val="28"/>
        </w:rPr>
        <w:t>“</w:t>
      </w:r>
      <w:r>
        <w:rPr>
          <w:rFonts w:eastAsia="仿宋"/>
          <w:sz w:val="28"/>
          <w:szCs w:val="28"/>
        </w:rPr>
        <w:t>基准”，在通用技术要求（如检测方法、文件格式）上保持一致，同时针对观赏石珊瑚的特异性（如共生营养需求、观赏价值维持）补充细化技术内容，形成</w:t>
      </w:r>
      <w:r>
        <w:rPr>
          <w:rFonts w:hint="eastAsia" w:eastAsia="仿宋"/>
          <w:sz w:val="28"/>
          <w:szCs w:val="28"/>
        </w:rPr>
        <w:t>“</w:t>
      </w:r>
      <w:r>
        <w:rPr>
          <w:rFonts w:eastAsia="仿宋"/>
          <w:sz w:val="28"/>
          <w:szCs w:val="28"/>
        </w:rPr>
        <w:t>合规性</w:t>
      </w:r>
      <w:r>
        <w:rPr>
          <w:rFonts w:hint="eastAsia" w:eastAsia="仿宋"/>
          <w:sz w:val="28"/>
          <w:szCs w:val="28"/>
        </w:rPr>
        <w:t>”</w:t>
      </w:r>
      <w:r>
        <w:rPr>
          <w:rFonts w:eastAsia="仿宋"/>
          <w:sz w:val="28"/>
          <w:szCs w:val="28"/>
        </w:rPr>
        <w:t>+专业性</w:t>
      </w:r>
      <w:r>
        <w:rPr>
          <w:rFonts w:hint="eastAsia" w:eastAsia="仿宋"/>
          <w:sz w:val="28"/>
          <w:szCs w:val="28"/>
        </w:rPr>
        <w:t>”</w:t>
      </w:r>
      <w:r>
        <w:rPr>
          <w:rFonts w:eastAsia="仿宋"/>
          <w:sz w:val="28"/>
          <w:szCs w:val="28"/>
        </w:rPr>
        <w:t>的双重保障，既不与现行法律及标准冲突，又能为行业提供更精准的技术指引。因此，本标准符合现行的法律法规，与现行标准协调一致。</w:t>
      </w:r>
    </w:p>
    <w:p w14:paraId="5F49D1B2">
      <w:pPr>
        <w:rPr>
          <w:rFonts w:eastAsia="仿宋"/>
          <w:b/>
          <w:bCs/>
          <w:sz w:val="28"/>
          <w:szCs w:val="28"/>
        </w:rPr>
      </w:pPr>
      <w:r>
        <w:rPr>
          <w:rFonts w:eastAsia="仿宋"/>
          <w:b/>
          <w:bCs/>
          <w:sz w:val="28"/>
          <w:szCs w:val="28"/>
        </w:rPr>
        <w:t>七、重大分歧意见的处理经过和依据。</w:t>
      </w:r>
    </w:p>
    <w:p w14:paraId="74347DAD">
      <w:pPr>
        <w:ind w:firstLine="560" w:firstLineChars="200"/>
        <w:rPr>
          <w:rFonts w:eastAsia="仿宋"/>
          <w:sz w:val="28"/>
          <w:szCs w:val="28"/>
        </w:rPr>
      </w:pPr>
      <w:r>
        <w:rPr>
          <w:rFonts w:eastAsia="仿宋"/>
          <w:sz w:val="28"/>
          <w:szCs w:val="28"/>
        </w:rPr>
        <w:t>本文件在制定过程中，无重大分歧意见。</w:t>
      </w:r>
    </w:p>
    <w:p w14:paraId="5570B746">
      <w:pPr>
        <w:rPr>
          <w:rFonts w:eastAsia="仿宋"/>
          <w:b/>
          <w:bCs/>
          <w:sz w:val="28"/>
          <w:szCs w:val="28"/>
        </w:rPr>
      </w:pPr>
      <w:r>
        <w:rPr>
          <w:rFonts w:eastAsia="仿宋"/>
          <w:b/>
          <w:bCs/>
          <w:sz w:val="28"/>
          <w:szCs w:val="28"/>
        </w:rPr>
        <w:t>八、涉及专利的有关说明。</w:t>
      </w:r>
    </w:p>
    <w:p w14:paraId="2A7DF510">
      <w:pPr>
        <w:ind w:firstLine="560"/>
        <w:rPr>
          <w:rFonts w:eastAsia="仿宋"/>
          <w:sz w:val="28"/>
          <w:szCs w:val="28"/>
        </w:rPr>
      </w:pPr>
      <w:r>
        <w:rPr>
          <w:rFonts w:eastAsia="仿宋"/>
          <w:sz w:val="28"/>
          <w:szCs w:val="28"/>
        </w:rPr>
        <w:t>请注意本文件的某些内容可能涉及专利。本文件的发布机构不承担识别专利的责任。</w:t>
      </w:r>
    </w:p>
    <w:p w14:paraId="6C313FFC">
      <w:pPr>
        <w:rPr>
          <w:rFonts w:eastAsia="仿宋"/>
          <w:b/>
          <w:bCs/>
          <w:sz w:val="28"/>
          <w:szCs w:val="28"/>
        </w:rPr>
      </w:pPr>
      <w:r>
        <w:rPr>
          <w:rFonts w:eastAsia="仿宋"/>
          <w:b/>
          <w:bCs/>
          <w:sz w:val="28"/>
          <w:szCs w:val="28"/>
        </w:rPr>
        <w:t>九、实施团体标准的要求，以及组织措施、技术措施、过渡期和实施日期的建议等措施建议。</w:t>
      </w:r>
    </w:p>
    <w:p w14:paraId="2EDF86EB">
      <w:pPr>
        <w:ind w:firstLine="560" w:firstLineChars="200"/>
        <w:rPr>
          <w:rFonts w:eastAsia="仿宋"/>
          <w:sz w:val="28"/>
          <w:szCs w:val="28"/>
        </w:rPr>
      </w:pPr>
      <w:r>
        <w:rPr>
          <w:rFonts w:eastAsia="仿宋"/>
          <w:sz w:val="28"/>
          <w:szCs w:val="28"/>
        </w:rPr>
        <w:t>为确保《观赏珊瑚养殖技术规范石珊瑚》团体标准有效落地，推动行业规范化发展，提出以下实施要求及措施建议：</w:t>
      </w:r>
    </w:p>
    <w:p w14:paraId="4DB78A6C">
      <w:pPr>
        <w:ind w:firstLine="562" w:firstLineChars="200"/>
        <w:rPr>
          <w:rFonts w:eastAsia="仿宋"/>
          <w:b/>
          <w:bCs/>
          <w:sz w:val="28"/>
          <w:szCs w:val="28"/>
        </w:rPr>
      </w:pPr>
      <w:r>
        <w:rPr>
          <w:rFonts w:eastAsia="仿宋"/>
          <w:b/>
          <w:bCs/>
          <w:sz w:val="28"/>
          <w:szCs w:val="28"/>
        </w:rPr>
        <w:t>组织措施</w:t>
      </w:r>
    </w:p>
    <w:p w14:paraId="016C80B4">
      <w:pPr>
        <w:ind w:firstLine="560" w:firstLineChars="200"/>
        <w:rPr>
          <w:rFonts w:eastAsia="仿宋"/>
          <w:sz w:val="28"/>
          <w:szCs w:val="28"/>
        </w:rPr>
      </w:pPr>
      <w:r>
        <w:rPr>
          <w:rFonts w:eastAsia="仿宋"/>
          <w:sz w:val="28"/>
          <w:szCs w:val="28"/>
        </w:rPr>
        <w:t>成立标准实施工作组：由中国渔业协会牵头，联合协作单位组建工作组，负责标准宣贯、答疑及监督，定期（每季度）发布实施进展报告。分区域开展培训：针对华北、华东、华南等养殖集中区域，每年至少组织2次线下培训，重点讲解设备安装、水质调控、病害诊断等实操内容；同步开设线上课程（如短视频、直播），覆盖家庭养殖者等分散群体。建立示范基地：在海南、广东、山东等省份选取5-8家规模化养殖企业及海洋馆作为示范基地，展示标准实施效果（如珊瑚存活率、水质稳定性），形成可复制的样板模式。</w:t>
      </w:r>
    </w:p>
    <w:p w14:paraId="221B36BE">
      <w:pPr>
        <w:ind w:firstLine="562" w:firstLineChars="200"/>
        <w:rPr>
          <w:rFonts w:eastAsia="仿宋"/>
          <w:b/>
          <w:bCs/>
          <w:sz w:val="28"/>
          <w:szCs w:val="28"/>
        </w:rPr>
      </w:pPr>
      <w:r>
        <w:rPr>
          <w:rFonts w:eastAsia="仿宋"/>
          <w:b/>
          <w:bCs/>
          <w:sz w:val="28"/>
          <w:szCs w:val="28"/>
        </w:rPr>
        <w:t>技术措施</w:t>
      </w:r>
    </w:p>
    <w:p w14:paraId="5AE031AA">
      <w:pPr>
        <w:ind w:firstLine="560" w:firstLineChars="200"/>
        <w:rPr>
          <w:rFonts w:eastAsia="仿宋"/>
          <w:sz w:val="28"/>
          <w:szCs w:val="28"/>
        </w:rPr>
      </w:pPr>
      <w:r>
        <w:rPr>
          <w:rFonts w:eastAsia="仿宋"/>
          <w:sz w:val="28"/>
          <w:szCs w:val="28"/>
        </w:rPr>
        <w:t>发布《标准实施手册》，细化设备操作流程图（如蛋白质分离器调试步骤）、水质指标换算表（如盐度与比重对应关系）等实用工具；开发</w:t>
      </w:r>
      <w:r>
        <w:rPr>
          <w:rFonts w:hint="eastAsia" w:eastAsia="仿宋"/>
          <w:sz w:val="28"/>
          <w:szCs w:val="28"/>
        </w:rPr>
        <w:t>“</w:t>
      </w:r>
      <w:r>
        <w:rPr>
          <w:rFonts w:eastAsia="仿宋"/>
          <w:sz w:val="28"/>
          <w:szCs w:val="28"/>
        </w:rPr>
        <w:t>珊瑚养殖管理 APP</w:t>
      </w:r>
      <w:r>
        <w:rPr>
          <w:rFonts w:hint="eastAsia" w:eastAsia="仿宋"/>
          <w:sz w:val="28"/>
          <w:szCs w:val="28"/>
        </w:rPr>
        <w:t>”</w:t>
      </w:r>
      <w:r>
        <w:rPr>
          <w:rFonts w:eastAsia="仿宋"/>
          <w:sz w:val="28"/>
          <w:szCs w:val="28"/>
        </w:rPr>
        <w:t>，内置水质监测记录模板、病害诊断指引及标准条款查询功能，降低记录与执行难度。设立线上咨询平台（如微信群、热线电话），由起草组专家及行业资深从业者提供实时答疑，解决实施中的技术难题（如特殊品种投喂方案调整）。每年组织一次标准实施效果评估，通过采集养殖单位的珊瑚存活率、水质达标率、病害发生率等数据，验证标准的科学性，为后续修订提供依据。</w:t>
      </w:r>
    </w:p>
    <w:p w14:paraId="765B3130">
      <w:pPr>
        <w:ind w:firstLine="562" w:firstLineChars="200"/>
        <w:rPr>
          <w:rFonts w:eastAsia="仿宋"/>
          <w:sz w:val="28"/>
          <w:szCs w:val="28"/>
        </w:rPr>
      </w:pPr>
      <w:r>
        <w:rPr>
          <w:rFonts w:eastAsia="仿宋"/>
          <w:b/>
          <w:bCs/>
          <w:sz w:val="28"/>
          <w:szCs w:val="28"/>
        </w:rPr>
        <w:t>过渡期与实施日期建议</w:t>
      </w:r>
    </w:p>
    <w:p w14:paraId="51CAEF7A">
      <w:pPr>
        <w:ind w:firstLine="560" w:firstLineChars="200"/>
        <w:rPr>
          <w:rFonts w:eastAsia="仿宋"/>
          <w:sz w:val="28"/>
          <w:szCs w:val="28"/>
        </w:rPr>
      </w:pPr>
      <w:r>
        <w:rPr>
          <w:rFonts w:eastAsia="仿宋"/>
          <w:sz w:val="28"/>
          <w:szCs w:val="28"/>
        </w:rPr>
        <w:t>过渡期：建议标准发布后设置6 个月过渡期（自发布日起计算）。过渡期内，允许养殖单位逐步整改（如更换不符合要求的设备、调整水质参数），工作组将提供免费指导，避免因仓促执行导致损失。</w:t>
      </w:r>
    </w:p>
    <w:p w14:paraId="7CFE8876">
      <w:pPr>
        <w:ind w:firstLine="560" w:firstLineChars="200"/>
        <w:rPr>
          <w:rFonts w:eastAsia="仿宋"/>
          <w:sz w:val="28"/>
          <w:szCs w:val="28"/>
        </w:rPr>
      </w:pPr>
      <w:r>
        <w:rPr>
          <w:rFonts w:eastAsia="仿宋"/>
          <w:sz w:val="28"/>
          <w:szCs w:val="28"/>
        </w:rPr>
        <w:t>实施日期：建议于</w:t>
      </w:r>
      <w:r>
        <w:rPr>
          <w:rFonts w:hint="eastAsia" w:eastAsia="仿宋"/>
          <w:sz w:val="28"/>
          <w:szCs w:val="28"/>
        </w:rPr>
        <w:t>技术审查后</w:t>
      </w:r>
      <w:r>
        <w:rPr>
          <w:rFonts w:eastAsia="仿宋"/>
          <w:sz w:val="28"/>
          <w:szCs w:val="28"/>
        </w:rPr>
        <w:t>正式实施，预留充足时间供行业学习、准备，确保实施初期平稳过渡。</w:t>
      </w:r>
    </w:p>
    <w:p w14:paraId="57B1C7CD">
      <w:pPr>
        <w:rPr>
          <w:rFonts w:eastAsia="仿宋"/>
          <w:b/>
          <w:bCs/>
          <w:sz w:val="28"/>
          <w:szCs w:val="28"/>
        </w:rPr>
      </w:pPr>
      <w:r>
        <w:rPr>
          <w:rFonts w:eastAsia="仿宋"/>
          <w:b/>
          <w:bCs/>
          <w:sz w:val="28"/>
          <w:szCs w:val="28"/>
        </w:rPr>
        <w:t>十、其他应予以说明的事项。</w:t>
      </w:r>
    </w:p>
    <w:p w14:paraId="2BA5B44F">
      <w:pPr>
        <w:ind w:firstLine="560" w:firstLineChars="200"/>
        <w:rPr>
          <w:rFonts w:eastAsia="仿宋"/>
          <w:sz w:val="28"/>
          <w:szCs w:val="28"/>
        </w:rPr>
      </w:pPr>
      <w:r>
        <w:rPr>
          <w:rFonts w:eastAsia="仿宋"/>
          <w:sz w:val="28"/>
          <w:szCs w:val="28"/>
        </w:rPr>
        <w:t>无。</w:t>
      </w:r>
    </w:p>
    <w:p w14:paraId="4795ECFC">
      <w:pPr>
        <w:ind w:firstLine="560" w:firstLineChars="200"/>
        <w:rPr>
          <w:rFonts w:eastAsia="仿宋"/>
          <w:sz w:val="28"/>
          <w:szCs w:val="28"/>
        </w:rPr>
      </w:pPr>
    </w:p>
    <w:p w14:paraId="6DB78684">
      <w:pPr>
        <w:ind w:firstLine="560" w:firstLineChars="200"/>
        <w:rPr>
          <w:rFonts w:eastAsia="仿宋"/>
          <w:sz w:val="28"/>
          <w:szCs w:val="28"/>
        </w:rPr>
      </w:pPr>
    </w:p>
    <w:p w14:paraId="433A4E82">
      <w:pPr>
        <w:ind w:firstLine="560" w:firstLineChars="200"/>
        <w:rPr>
          <w:rFonts w:eastAsia="仿宋"/>
          <w:sz w:val="28"/>
          <w:szCs w:val="28"/>
        </w:rPr>
      </w:pPr>
    </w:p>
    <w:p w14:paraId="235FDC48">
      <w:pPr>
        <w:ind w:firstLine="560" w:firstLineChars="200"/>
        <w:rPr>
          <w:rFonts w:eastAsia="仿宋"/>
          <w:sz w:val="28"/>
          <w:szCs w:val="28"/>
        </w:rPr>
        <w:sectPr>
          <w:footerReference r:id="rId3" w:type="default"/>
          <w:pgSz w:w="11906" w:h="16838"/>
          <w:pgMar w:top="1440" w:right="1800" w:bottom="1440" w:left="1800" w:header="851" w:footer="992" w:gutter="0"/>
          <w:cols w:space="425" w:num="1"/>
          <w:docGrid w:type="lines" w:linePitch="312" w:charSpace="0"/>
        </w:sectPr>
      </w:pPr>
    </w:p>
    <w:p w14:paraId="28B363FD">
      <w:pPr>
        <w:ind w:firstLine="562" w:firstLineChars="200"/>
        <w:jc w:val="center"/>
        <w:rPr>
          <w:rFonts w:eastAsia="仿宋"/>
          <w:b/>
          <w:bCs/>
          <w:sz w:val="28"/>
          <w:szCs w:val="28"/>
        </w:rPr>
      </w:pPr>
      <w:bookmarkStart w:id="14" w:name="_GoBack"/>
      <w:r>
        <w:rPr>
          <w:rFonts w:eastAsia="仿宋"/>
          <w:b/>
          <w:bCs/>
          <w:sz w:val="28"/>
          <w:szCs w:val="28"/>
        </w:rPr>
        <w:t>主要参考文献</w:t>
      </w:r>
    </w:p>
    <w:p w14:paraId="3C7076DF">
      <w:pPr>
        <w:rPr>
          <w:rFonts w:eastAsia="仿宋"/>
          <w:sz w:val="21"/>
          <w:szCs w:val="21"/>
        </w:rPr>
      </w:pPr>
      <w:r>
        <w:rPr>
          <w:rFonts w:eastAsia="仿宋"/>
          <w:sz w:val="21"/>
          <w:szCs w:val="21"/>
        </w:rPr>
        <w:t>[1].</w:t>
      </w:r>
      <w:r>
        <w:rPr>
          <w:sz w:val="21"/>
          <w:szCs w:val="21"/>
        </w:rPr>
        <w:t xml:space="preserve"> </w:t>
      </w:r>
      <w:r>
        <w:rPr>
          <w:rFonts w:eastAsia="仿宋"/>
          <w:sz w:val="21"/>
          <w:szCs w:val="21"/>
        </w:rPr>
        <w:t>Cole A. Energetic costs of chronic fish predation on reef-building corals[J]. 2011..</w:t>
      </w:r>
    </w:p>
    <w:p w14:paraId="7BE9947F">
      <w:pPr>
        <w:rPr>
          <w:rFonts w:eastAsia="仿宋"/>
          <w:sz w:val="21"/>
          <w:szCs w:val="21"/>
        </w:rPr>
      </w:pPr>
      <w:r>
        <w:rPr>
          <w:rFonts w:eastAsia="仿宋"/>
          <w:sz w:val="21"/>
          <w:szCs w:val="21"/>
        </w:rPr>
        <w:t>[2].</w:t>
      </w:r>
      <w:r>
        <w:rPr>
          <w:sz w:val="21"/>
          <w:szCs w:val="21"/>
        </w:rPr>
        <w:t xml:space="preserve"> </w:t>
      </w:r>
      <w:r>
        <w:rPr>
          <w:rFonts w:eastAsia="仿宋"/>
          <w:sz w:val="21"/>
          <w:szCs w:val="21"/>
        </w:rPr>
        <w:t>Ng C, Toh T C, Toh K B, et al. Dietary habits of grazers influence their suitability as biological controls of fouling macroalgae in ex situ mariculture[J]. Aquaculture Research, 2015:n/a-n/a..</w:t>
      </w:r>
    </w:p>
    <w:p w14:paraId="2F3DEF88">
      <w:pPr>
        <w:rPr>
          <w:rFonts w:eastAsia="仿宋"/>
          <w:sz w:val="21"/>
          <w:szCs w:val="21"/>
        </w:rPr>
      </w:pPr>
      <w:r>
        <w:rPr>
          <w:rFonts w:eastAsia="仿宋"/>
          <w:sz w:val="21"/>
          <w:szCs w:val="21"/>
        </w:rPr>
        <w:t>[3].</w:t>
      </w:r>
      <w:r>
        <w:rPr>
          <w:sz w:val="21"/>
          <w:szCs w:val="21"/>
        </w:rPr>
        <w:t xml:space="preserve"> </w:t>
      </w:r>
      <w:r>
        <w:rPr>
          <w:rFonts w:eastAsia="仿宋"/>
          <w:sz w:val="21"/>
          <w:szCs w:val="21"/>
        </w:rPr>
        <w:t>Osinga R, Schutter M, Griffioen B, et al. INVITED REVIEW The Biology and Economics of Coral Growth[J]. 2010.</w:t>
      </w:r>
    </w:p>
    <w:p w14:paraId="03DC4695">
      <w:pPr>
        <w:rPr>
          <w:rFonts w:eastAsia="仿宋"/>
          <w:sz w:val="21"/>
          <w:szCs w:val="21"/>
        </w:rPr>
      </w:pPr>
      <w:r>
        <w:rPr>
          <w:rFonts w:eastAsia="仿宋"/>
          <w:sz w:val="21"/>
          <w:szCs w:val="21"/>
        </w:rPr>
        <w:t>[4]. Ou Z, Liu W, He M. Temperature and salinity adaptability of the coral reef topshell Tectus pyramis[J]. Journal of the World Aquaculture Society, 2021(4)..</w:t>
      </w:r>
    </w:p>
    <w:p w14:paraId="285561BA">
      <w:pPr>
        <w:rPr>
          <w:rFonts w:eastAsia="仿宋"/>
          <w:sz w:val="21"/>
          <w:szCs w:val="21"/>
        </w:rPr>
      </w:pPr>
      <w:r>
        <w:rPr>
          <w:rFonts w:eastAsia="仿宋"/>
          <w:sz w:val="21"/>
          <w:szCs w:val="21"/>
        </w:rPr>
        <w:t>[5].</w:t>
      </w:r>
      <w:r>
        <w:rPr>
          <w:sz w:val="21"/>
          <w:szCs w:val="21"/>
        </w:rPr>
        <w:t xml:space="preserve"> </w:t>
      </w:r>
      <w:r>
        <w:rPr>
          <w:rFonts w:eastAsia="仿宋"/>
          <w:sz w:val="21"/>
          <w:szCs w:val="21"/>
        </w:rPr>
        <w:t>Yuen Y S, Yamazaki S S, Nakamura T, et al. Effects of live rock on the reef-building coral Acropora digitifera cultured with high levels of nitrogenous compounds[J]. Aquacultural Engineering, 2009,41(1):35-43.</w:t>
      </w:r>
    </w:p>
    <w:p w14:paraId="1F79B335">
      <w:pPr>
        <w:rPr>
          <w:rFonts w:eastAsia="仿宋"/>
          <w:sz w:val="21"/>
          <w:szCs w:val="21"/>
        </w:rPr>
      </w:pPr>
      <w:r>
        <w:rPr>
          <w:rFonts w:eastAsia="仿宋"/>
          <w:sz w:val="21"/>
          <w:szCs w:val="21"/>
        </w:rPr>
        <w:t>[6].</w:t>
      </w:r>
      <w:r>
        <w:rPr>
          <w:rFonts w:hint="eastAsia" w:eastAsia="仿宋"/>
          <w:sz w:val="21"/>
          <w:szCs w:val="21"/>
        </w:rPr>
        <w:t>黄滨, 雷霁霖, 翟介明, 等. 封闭循环系统生物滤池气水比对水质净化效能的影响: 水产工业化养殖技术研讨会, 2012[C]</w:t>
      </w:r>
      <w:r>
        <w:rPr>
          <w:rFonts w:eastAsia="仿宋"/>
          <w:sz w:val="21"/>
          <w:szCs w:val="21"/>
        </w:rPr>
        <w:t>.</w:t>
      </w:r>
    </w:p>
    <w:p w14:paraId="3B387F31">
      <w:pPr>
        <w:rPr>
          <w:rFonts w:eastAsia="仿宋"/>
          <w:sz w:val="21"/>
          <w:szCs w:val="21"/>
        </w:rPr>
      </w:pPr>
      <w:r>
        <w:rPr>
          <w:rFonts w:eastAsia="仿宋"/>
          <w:sz w:val="21"/>
          <w:szCs w:val="21"/>
        </w:rPr>
        <w:t>[7].</w:t>
      </w:r>
      <w:r>
        <w:rPr>
          <w:rFonts w:hint="eastAsia" w:eastAsia="仿宋"/>
          <w:sz w:val="21"/>
          <w:szCs w:val="21"/>
        </w:rPr>
        <w:t>施鲲. 水族箱水质净化和观赏鱼饲料[J]. 渔业现代化, 2000(5):2</w:t>
      </w:r>
      <w:r>
        <w:rPr>
          <w:rFonts w:eastAsia="仿宋"/>
          <w:sz w:val="21"/>
          <w:szCs w:val="21"/>
        </w:rPr>
        <w:t>.</w:t>
      </w:r>
    </w:p>
    <w:p w14:paraId="4AA8ECAA">
      <w:pPr>
        <w:rPr>
          <w:rFonts w:eastAsia="仿宋"/>
          <w:sz w:val="21"/>
          <w:szCs w:val="21"/>
        </w:rPr>
      </w:pPr>
      <w:r>
        <w:rPr>
          <w:rFonts w:eastAsia="仿宋"/>
          <w:sz w:val="21"/>
          <w:szCs w:val="21"/>
        </w:rPr>
        <w:t>[8].</w:t>
      </w:r>
      <w:r>
        <w:rPr>
          <w:rFonts w:hint="eastAsia"/>
          <w:sz w:val="21"/>
          <w:szCs w:val="21"/>
        </w:rPr>
        <w:t xml:space="preserve"> </w:t>
      </w:r>
      <w:r>
        <w:rPr>
          <w:rFonts w:hint="eastAsia" w:eastAsia="仿宋"/>
          <w:sz w:val="21"/>
          <w:szCs w:val="21"/>
        </w:rPr>
        <w:t>时翔, 谭烨辉, 黄良民, 等. 磷酸盐胁迫对造礁石珊瑚共生虫黄藻光合作用的影响[J]. 生态学报, 2008,28(6):6</w:t>
      </w:r>
      <w:r>
        <w:rPr>
          <w:rFonts w:eastAsia="仿宋"/>
          <w:sz w:val="21"/>
          <w:szCs w:val="21"/>
        </w:rPr>
        <w:t>.</w:t>
      </w:r>
    </w:p>
    <w:p w14:paraId="7B1B5F1A">
      <w:pPr>
        <w:rPr>
          <w:rFonts w:eastAsia="仿宋"/>
          <w:sz w:val="21"/>
          <w:szCs w:val="21"/>
        </w:rPr>
      </w:pPr>
      <w:r>
        <w:rPr>
          <w:rFonts w:eastAsia="仿宋"/>
          <w:sz w:val="21"/>
          <w:szCs w:val="21"/>
        </w:rPr>
        <w:t>[9].</w:t>
      </w:r>
      <w:r>
        <w:rPr>
          <w:rFonts w:hint="eastAsia" w:eastAsia="仿宋"/>
          <w:sz w:val="21"/>
          <w:szCs w:val="21"/>
        </w:rPr>
        <w:t>宋德敬, 尚静, 姜辉, 等. 蛋白质分离器中的不同臭氧浓度对工厂化养殖净水效果的试验[J]. 水产学报, 2005,29(5):5.</w:t>
      </w:r>
    </w:p>
    <w:p w14:paraId="3CF64598">
      <w:pPr>
        <w:rPr>
          <w:rFonts w:eastAsia="仿宋"/>
          <w:sz w:val="21"/>
          <w:szCs w:val="21"/>
        </w:rPr>
      </w:pPr>
      <w:r>
        <w:rPr>
          <w:rFonts w:hint="eastAsia" w:eastAsia="仿宋"/>
          <w:sz w:val="21"/>
          <w:szCs w:val="21"/>
        </w:rPr>
        <w:t>[10].王淑红, 洪文霆, 陈纪新, 等. 珊瑚人工繁育技术研究进展[J]. 应用生态学报, 2015,26(9):2903-2912.</w:t>
      </w:r>
    </w:p>
    <w:p w14:paraId="73F1DDA3">
      <w:pPr>
        <w:rPr>
          <w:rFonts w:eastAsia="仿宋"/>
          <w:sz w:val="21"/>
          <w:szCs w:val="21"/>
        </w:rPr>
      </w:pPr>
      <w:r>
        <w:rPr>
          <w:rFonts w:eastAsia="仿宋"/>
          <w:sz w:val="21"/>
          <w:szCs w:val="21"/>
        </w:rPr>
        <w:t>[1</w:t>
      </w:r>
      <w:r>
        <w:rPr>
          <w:rFonts w:hint="eastAsia" w:eastAsia="仿宋"/>
          <w:sz w:val="21"/>
          <w:szCs w:val="21"/>
        </w:rPr>
        <w:t>1</w:t>
      </w:r>
      <w:r>
        <w:rPr>
          <w:rFonts w:eastAsia="仿宋"/>
          <w:sz w:val="21"/>
          <w:szCs w:val="21"/>
        </w:rPr>
        <w:t>].</w:t>
      </w:r>
      <w:r>
        <w:rPr>
          <w:rFonts w:hint="eastAsia" w:eastAsia="仿宋"/>
          <w:sz w:val="21"/>
          <w:szCs w:val="21"/>
        </w:rPr>
        <w:t>严志豪. 藻坪净水系统水流条件优化及工程应用费效分析[D]. 厦门大学, 2017.</w:t>
      </w:r>
      <w:r>
        <w:rPr>
          <w:rFonts w:eastAsia="仿宋"/>
          <w:sz w:val="21"/>
          <w:szCs w:val="21"/>
        </w:rPr>
        <w:t>．</w:t>
      </w:r>
    </w:p>
    <w:p w14:paraId="6D0C96D2">
      <w:pPr>
        <w:rPr>
          <w:rFonts w:eastAsia="仿宋"/>
          <w:sz w:val="21"/>
          <w:szCs w:val="21"/>
        </w:rPr>
      </w:pPr>
      <w:r>
        <w:rPr>
          <w:rFonts w:eastAsia="仿宋"/>
          <w:sz w:val="21"/>
          <w:szCs w:val="21"/>
        </w:rPr>
        <w:t>[1</w:t>
      </w:r>
      <w:r>
        <w:rPr>
          <w:rFonts w:hint="eastAsia" w:eastAsia="仿宋"/>
          <w:sz w:val="21"/>
          <w:szCs w:val="21"/>
        </w:rPr>
        <w:t>2</w:t>
      </w:r>
      <w:r>
        <w:rPr>
          <w:rFonts w:eastAsia="仿宋"/>
          <w:sz w:val="21"/>
          <w:szCs w:val="21"/>
        </w:rPr>
        <w:t>].</w:t>
      </w:r>
      <w:r>
        <w:rPr>
          <w:rFonts w:hint="eastAsia"/>
          <w:sz w:val="21"/>
          <w:szCs w:val="21"/>
        </w:rPr>
        <w:t xml:space="preserve"> </w:t>
      </w:r>
      <w:r>
        <w:rPr>
          <w:rFonts w:hint="eastAsia" w:eastAsia="仿宋"/>
          <w:sz w:val="21"/>
          <w:szCs w:val="21"/>
        </w:rPr>
        <w:t>鱼虫, Bai. UV&amp;O_3杀菌器材[J]. 水族世界, 2005(2):73-75</w:t>
      </w:r>
      <w:r>
        <w:rPr>
          <w:rFonts w:eastAsia="仿宋"/>
          <w:sz w:val="21"/>
          <w:szCs w:val="21"/>
        </w:rPr>
        <w:t>．</w:t>
      </w:r>
    </w:p>
    <w:p w14:paraId="6BB74D9F">
      <w:pPr>
        <w:rPr>
          <w:rFonts w:eastAsia="仿宋"/>
          <w:sz w:val="21"/>
          <w:szCs w:val="21"/>
        </w:rPr>
      </w:pPr>
      <w:r>
        <w:rPr>
          <w:rFonts w:eastAsia="仿宋"/>
          <w:sz w:val="21"/>
          <w:szCs w:val="21"/>
        </w:rPr>
        <w:t>[1</w:t>
      </w:r>
      <w:r>
        <w:rPr>
          <w:rFonts w:hint="eastAsia" w:eastAsia="仿宋"/>
          <w:sz w:val="21"/>
          <w:szCs w:val="21"/>
        </w:rPr>
        <w:t>3</w:t>
      </w:r>
      <w:r>
        <w:rPr>
          <w:rFonts w:eastAsia="仿宋"/>
          <w:sz w:val="21"/>
          <w:szCs w:val="21"/>
        </w:rPr>
        <w:t>].</w:t>
      </w:r>
      <w:r>
        <w:rPr>
          <w:rFonts w:hint="eastAsia" w:eastAsia="仿宋"/>
          <w:sz w:val="21"/>
          <w:szCs w:val="21"/>
        </w:rPr>
        <w:t>张达娟, 张树林, 刘阔晨, 等. 孔石莼净化珊瑚养殖水体水质的研究[J]. 天津农业科学, 2015,21(7):4</w:t>
      </w:r>
      <w:r>
        <w:rPr>
          <w:rFonts w:eastAsia="仿宋"/>
          <w:sz w:val="21"/>
          <w:szCs w:val="21"/>
        </w:rPr>
        <w:t>．</w:t>
      </w:r>
    </w:p>
    <w:p w14:paraId="394DCA3C">
      <w:pPr>
        <w:rPr>
          <w:rFonts w:eastAsia="仿宋"/>
          <w:sz w:val="21"/>
          <w:szCs w:val="21"/>
        </w:rPr>
      </w:pPr>
      <w:r>
        <w:rPr>
          <w:rFonts w:eastAsia="仿宋"/>
          <w:sz w:val="21"/>
          <w:szCs w:val="21"/>
        </w:rPr>
        <w:t>[1</w:t>
      </w:r>
      <w:r>
        <w:rPr>
          <w:rFonts w:hint="eastAsia" w:eastAsia="仿宋"/>
          <w:sz w:val="21"/>
          <w:szCs w:val="21"/>
        </w:rPr>
        <w:t>4</w:t>
      </w:r>
      <w:r>
        <w:rPr>
          <w:rFonts w:eastAsia="仿宋"/>
          <w:sz w:val="21"/>
          <w:szCs w:val="21"/>
        </w:rPr>
        <w:t>].</w:t>
      </w:r>
      <w:r>
        <w:rPr>
          <w:rFonts w:hint="eastAsia" w:eastAsia="仿宋"/>
          <w:sz w:val="21"/>
          <w:szCs w:val="21"/>
        </w:rPr>
        <w:t>邹仁林. 造礁石珊瑚[J]. 生物学通报, 1998(06):10-13</w:t>
      </w:r>
      <w:r>
        <w:rPr>
          <w:rFonts w:eastAsia="仿宋"/>
          <w:sz w:val="21"/>
          <w:szCs w:val="21"/>
        </w:rPr>
        <w:t>.</w:t>
      </w:r>
    </w:p>
    <w:bookmarkEnd w:id="14"/>
    <w:p w14:paraId="5870D179">
      <w:pPr>
        <w:rPr>
          <w:rFonts w:eastAsia="仿宋"/>
          <w:sz w:val="28"/>
          <w:szCs w:val="28"/>
        </w:rPr>
      </w:pPr>
    </w:p>
    <w:p w14:paraId="2E01432A">
      <w:pPr>
        <w:rPr>
          <w:rFonts w:eastAsia="仿宋"/>
          <w:sz w:val="28"/>
          <w:szCs w:val="28"/>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ourier New">
    <w:panose1 w:val="02070309020205020404"/>
    <w:charset w:val="00"/>
    <w:family w:val="modern"/>
    <w:pitch w:val="default"/>
    <w:sig w:usb0="E0002EFF" w:usb1="C0007843" w:usb2="00000009" w:usb3="00000000" w:csb0="400001FF" w:csb1="FFFF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MS Gothic">
    <w:panose1 w:val="020B0609070205080204"/>
    <w:charset w:val="80"/>
    <w:family w:val="modern"/>
    <w:pitch w:val="default"/>
    <w:sig w:usb0="E00002FF" w:usb1="6AC7FDFB" w:usb2="08000012" w:usb3="00000000" w:csb0="4002009F" w:csb1="DFD70000"/>
  </w:font>
  <w:font w:name="MS PGothic">
    <w:panose1 w:val="020B0600070205080204"/>
    <w:charset w:val="80"/>
    <w:family w:val="auto"/>
    <w:pitch w:val="default"/>
    <w:sig w:usb0="E00002FF" w:usb1="6AC7FDFB" w:usb2="08000012" w:usb3="00000000" w:csb0="4002009F" w:csb1="DFD70000"/>
  </w:font>
  <w:font w:name="Segoe UI">
    <w:panose1 w:val="020B0502040204020203"/>
    <w:charset w:val="00"/>
    <w:family w:val="auto"/>
    <w:pitch w:val="default"/>
    <w:sig w:usb0="E4002EFF" w:usb1="C000E47F"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95323980"/>
    </w:sdtPr>
    <w:sdtContent>
      <w:p w14:paraId="3D75B378">
        <w:pPr>
          <w:pStyle w:val="14"/>
          <w:jc w:val="center"/>
        </w:pPr>
        <w:r>
          <w:fldChar w:fldCharType="begin"/>
        </w:r>
        <w:r>
          <w:instrText xml:space="preserve">PAGE   \* MERGEFORMAT</w:instrText>
        </w:r>
        <w:r>
          <w:fldChar w:fldCharType="separate"/>
        </w:r>
        <w:r>
          <w:rPr>
            <w:lang w:val="zh-CN"/>
          </w:rPr>
          <w:t>14</w:t>
        </w:r>
        <w:r>
          <w:fldChar w:fldCharType="end"/>
        </w:r>
      </w:p>
    </w:sdtContent>
  </w:sdt>
  <w:p w14:paraId="548DEC68">
    <w:pPr>
      <w:pStyle w:val="14"/>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CD9870E"/>
    <w:multiLevelType w:val="multilevel"/>
    <w:tmpl w:val="1CD9870E"/>
    <w:lvl w:ilvl="0" w:tentative="0">
      <w:start w:val="1"/>
      <w:numFmt w:val="decimal"/>
      <w:suff w:val="space"/>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1E7F8326"/>
    <w:multiLevelType w:val="singleLevel"/>
    <w:tmpl w:val="1E7F8326"/>
    <w:lvl w:ilvl="0" w:tentative="0">
      <w:start w:val="2"/>
      <w:numFmt w:val="chineseCounting"/>
      <w:suff w:val="nothing"/>
      <w:lvlText w:val="（%1）"/>
      <w:lvlJc w:val="left"/>
      <w:rPr>
        <w:rFonts w:hint="eastAsia"/>
      </w:rPr>
    </w:lvl>
  </w:abstractNum>
  <w:abstractNum w:abstractNumId="2">
    <w:nsid w:val="1F7510B3"/>
    <w:multiLevelType w:val="multilevel"/>
    <w:tmpl w:val="1F7510B3"/>
    <w:lvl w:ilvl="0" w:tentative="0">
      <w:start w:val="1"/>
      <w:numFmt w:val="decimal"/>
      <w:suff w:val="space"/>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
    <w:nsid w:val="1FC91163"/>
    <w:multiLevelType w:val="multilevel"/>
    <w:tmpl w:val="1FC91163"/>
    <w:lvl w:ilvl="0" w:tentative="0">
      <w:start w:val="1"/>
      <w:numFmt w:val="decimal"/>
      <w:suff w:val="nothing"/>
      <w:lvlText w:val="%1　"/>
      <w:lvlJc w:val="left"/>
      <w:pPr>
        <w:ind w:left="105" w:firstLine="0"/>
      </w:pPr>
      <w:rPr>
        <w:rFonts w:hint="eastAsia" w:ascii="黑体" w:hAnsi="Times New Roman" w:eastAsia="黑体"/>
        <w:b w:val="0"/>
        <w:i w:val="0"/>
        <w:sz w:val="21"/>
        <w:szCs w:val="21"/>
      </w:rPr>
    </w:lvl>
    <w:lvl w:ilvl="1" w:tentative="0">
      <w:start w:val="1"/>
      <w:numFmt w:val="decimal"/>
      <w:pStyle w:val="22"/>
      <w:suff w:val="nothing"/>
      <w:lvlText w:val="%1.%2　"/>
      <w:lvlJc w:val="left"/>
      <w:pPr>
        <w:ind w:left="84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21"/>
      <w:suff w:val="nothing"/>
      <w:lvlText w:val="%1.%2.%3　"/>
      <w:lvlJc w:val="left"/>
      <w:pPr>
        <w:ind w:left="420" w:firstLine="0"/>
      </w:pPr>
      <w:rPr>
        <w:rFonts w:hint="eastAsia" w:ascii="黑体" w:hAnsi="Times New Roman" w:eastAsia="黑体"/>
        <w:b w:val="0"/>
        <w:i w:val="0"/>
        <w:sz w:val="21"/>
      </w:rPr>
    </w:lvl>
    <w:lvl w:ilvl="3" w:tentative="0">
      <w:start w:val="1"/>
      <w:numFmt w:val="decimal"/>
      <w:pStyle w:val="20"/>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4FDB1B48"/>
    <w:multiLevelType w:val="multilevel"/>
    <w:tmpl w:val="4FDB1B48"/>
    <w:lvl w:ilvl="0" w:tentative="0">
      <w:start w:val="1"/>
      <w:numFmt w:val="upperLetter"/>
      <w:suff w:val="space"/>
      <w:lvlText w:val="%1"/>
      <w:lvlJc w:val="left"/>
      <w:pPr>
        <w:ind w:left="425" w:hanging="425"/>
      </w:pPr>
    </w:lvl>
    <w:lvl w:ilvl="1" w:tentative="0">
      <w:start w:val="1"/>
      <w:numFmt w:val="decimal"/>
      <w:pStyle w:val="33"/>
      <w:suff w:val="space"/>
      <w:lvlText w:val="表%1.%2"/>
      <w:lvlJc w:val="center"/>
      <w:pPr>
        <w:ind w:left="1135" w:firstLine="0"/>
      </w:pPr>
      <w:rPr>
        <w:rFonts w:hint="eastAsia" w:ascii="黑体" w:hAnsi="Times New Roman" w:eastAsia="黑体" w:cs="黑体"/>
        <w:sz w:val="21"/>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5"/>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5">
    <w:nsid w:val="5B33D042"/>
    <w:multiLevelType w:val="multilevel"/>
    <w:tmpl w:val="5B33D042"/>
    <w:lvl w:ilvl="0" w:tentative="0">
      <w:start w:val="1"/>
      <w:numFmt w:val="upperLetter"/>
      <w:pStyle w:val="32"/>
      <w:suff w:val="nothing"/>
      <w:lvlText w:val="附录%1"/>
      <w:lvlJc w:val="left"/>
      <w:pPr>
        <w:ind w:left="0" w:firstLine="0"/>
      </w:pPr>
      <w:rPr>
        <w:spacing w:val="100"/>
      </w:r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pPr>
      <w:rPr>
        <w:rFonts w:hint="eastAsia" w:ascii="黑体" w:hAnsi="Times New Roman" w:eastAsia="黑体" w:cs="黑体"/>
        <w:b w:val="0"/>
        <w:i w:val="0"/>
        <w:sz w:val="21"/>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6">
    <w:nsid w:val="5E1AF416"/>
    <w:multiLevelType w:val="multilevel"/>
    <w:tmpl w:val="5E1AF416"/>
    <w:lvl w:ilvl="0" w:tentative="0">
      <w:start w:val="1"/>
      <w:numFmt w:val="decimal"/>
      <w:suff w:val="space"/>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7">
    <w:nsid w:val="646260FA"/>
    <w:multiLevelType w:val="multilevel"/>
    <w:tmpl w:val="646260FA"/>
    <w:lvl w:ilvl="0" w:tentative="0">
      <w:start w:val="1"/>
      <w:numFmt w:val="decimal"/>
      <w:pStyle w:val="29"/>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8">
    <w:nsid w:val="6AE8A0C5"/>
    <w:multiLevelType w:val="multilevel"/>
    <w:tmpl w:val="6AE8A0C5"/>
    <w:lvl w:ilvl="0" w:tentative="0">
      <w:start w:val="1"/>
      <w:numFmt w:val="decimal"/>
      <w:suff w:val="space"/>
      <w:lvlText w:val="%1."/>
      <w:lvlJc w:val="left"/>
      <w:pPr>
        <w:ind w:left="0" w:firstLine="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9">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27"/>
      <w:suff w:val="nothing"/>
      <w:lvlText w:val="%1%2　"/>
      <w:lvlJc w:val="left"/>
      <w:pPr>
        <w:ind w:left="0" w:firstLine="0"/>
      </w:pPr>
      <w:rPr>
        <w:rFonts w:hint="eastAsia" w:ascii="黑体" w:eastAsia="黑体"/>
        <w:b w:val="0"/>
        <w:i w:val="0"/>
        <w:sz w:val="21"/>
      </w:rPr>
    </w:lvl>
    <w:lvl w:ilvl="2" w:tentative="0">
      <w:start w:val="1"/>
      <w:numFmt w:val="decimal"/>
      <w:pStyle w:val="26"/>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rPr>
    </w:lvl>
    <w:lvl w:ilvl="3" w:tentative="0">
      <w:start w:val="1"/>
      <w:numFmt w:val="decimal"/>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3"/>
  </w:num>
  <w:num w:numId="2">
    <w:abstractNumId w:val="9"/>
  </w:num>
  <w:num w:numId="3">
    <w:abstractNumId w:val="7"/>
  </w:num>
  <w:num w:numId="4">
    <w:abstractNumId w:val="5"/>
  </w:num>
  <w:num w:numId="5">
    <w:abstractNumId w:val="4"/>
  </w:num>
  <w:num w:numId="6">
    <w:abstractNumId w:val="1"/>
  </w:num>
  <w:num w:numId="7">
    <w:abstractNumId w:val="2"/>
  </w:num>
  <w:num w:numId="8">
    <w:abstractNumId w:val="0"/>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JhNjc3ZDI4NzAzMDI4YTA2MDU3MDU5ODQ0YTZlMzIifQ=="/>
  </w:docVars>
  <w:rsids>
    <w:rsidRoot w:val="23BD3CAE"/>
    <w:rsid w:val="00107117"/>
    <w:rsid w:val="001C013C"/>
    <w:rsid w:val="001D02C1"/>
    <w:rsid w:val="001E1F08"/>
    <w:rsid w:val="001F60B4"/>
    <w:rsid w:val="00203FD6"/>
    <w:rsid w:val="00207014"/>
    <w:rsid w:val="00272C54"/>
    <w:rsid w:val="002833EF"/>
    <w:rsid w:val="002D5AF1"/>
    <w:rsid w:val="003049FC"/>
    <w:rsid w:val="003158D5"/>
    <w:rsid w:val="0031796A"/>
    <w:rsid w:val="00336CCD"/>
    <w:rsid w:val="00352567"/>
    <w:rsid w:val="00395B28"/>
    <w:rsid w:val="003B58A6"/>
    <w:rsid w:val="003C3387"/>
    <w:rsid w:val="003C6630"/>
    <w:rsid w:val="003D3509"/>
    <w:rsid w:val="00400941"/>
    <w:rsid w:val="00417C06"/>
    <w:rsid w:val="00433D23"/>
    <w:rsid w:val="00445076"/>
    <w:rsid w:val="004450F5"/>
    <w:rsid w:val="004524FA"/>
    <w:rsid w:val="00457B7E"/>
    <w:rsid w:val="004D5A4A"/>
    <w:rsid w:val="00506988"/>
    <w:rsid w:val="00512F18"/>
    <w:rsid w:val="00520A36"/>
    <w:rsid w:val="005335D7"/>
    <w:rsid w:val="00535E5F"/>
    <w:rsid w:val="0054563B"/>
    <w:rsid w:val="005A24A0"/>
    <w:rsid w:val="005C5E6C"/>
    <w:rsid w:val="005C6D1A"/>
    <w:rsid w:val="005E5E62"/>
    <w:rsid w:val="005F046D"/>
    <w:rsid w:val="00600F73"/>
    <w:rsid w:val="00601306"/>
    <w:rsid w:val="00651503"/>
    <w:rsid w:val="00661DF9"/>
    <w:rsid w:val="00684713"/>
    <w:rsid w:val="006C726E"/>
    <w:rsid w:val="006D4AF5"/>
    <w:rsid w:val="006E7F7B"/>
    <w:rsid w:val="006F4C0A"/>
    <w:rsid w:val="00721B0D"/>
    <w:rsid w:val="007373C8"/>
    <w:rsid w:val="0074454F"/>
    <w:rsid w:val="0079052A"/>
    <w:rsid w:val="00795D2C"/>
    <w:rsid w:val="00813DDC"/>
    <w:rsid w:val="00815056"/>
    <w:rsid w:val="00842299"/>
    <w:rsid w:val="008643EC"/>
    <w:rsid w:val="008A2977"/>
    <w:rsid w:val="008B5612"/>
    <w:rsid w:val="008D5A9A"/>
    <w:rsid w:val="009607F9"/>
    <w:rsid w:val="009617A0"/>
    <w:rsid w:val="009A4541"/>
    <w:rsid w:val="009F61A6"/>
    <w:rsid w:val="00A066E9"/>
    <w:rsid w:val="00AD5BD7"/>
    <w:rsid w:val="00AE4A58"/>
    <w:rsid w:val="00B47A72"/>
    <w:rsid w:val="00B72CFA"/>
    <w:rsid w:val="00B74103"/>
    <w:rsid w:val="00B93805"/>
    <w:rsid w:val="00BA4044"/>
    <w:rsid w:val="00BC184D"/>
    <w:rsid w:val="00C17440"/>
    <w:rsid w:val="00C47544"/>
    <w:rsid w:val="00CD0897"/>
    <w:rsid w:val="00CE6108"/>
    <w:rsid w:val="00CF54D8"/>
    <w:rsid w:val="00CF6892"/>
    <w:rsid w:val="00D35C16"/>
    <w:rsid w:val="00D96A63"/>
    <w:rsid w:val="00E0590A"/>
    <w:rsid w:val="00E24B6B"/>
    <w:rsid w:val="00E36966"/>
    <w:rsid w:val="00E507B7"/>
    <w:rsid w:val="00E606E8"/>
    <w:rsid w:val="00E66FA9"/>
    <w:rsid w:val="00E8192E"/>
    <w:rsid w:val="00EE7EC4"/>
    <w:rsid w:val="00F1756D"/>
    <w:rsid w:val="00FA3190"/>
    <w:rsid w:val="00FB50F6"/>
    <w:rsid w:val="00FC7937"/>
    <w:rsid w:val="02A429BD"/>
    <w:rsid w:val="02B250DA"/>
    <w:rsid w:val="045D1E82"/>
    <w:rsid w:val="04642403"/>
    <w:rsid w:val="071F3535"/>
    <w:rsid w:val="08275C22"/>
    <w:rsid w:val="0B723658"/>
    <w:rsid w:val="0E1C78AB"/>
    <w:rsid w:val="0FA07BC4"/>
    <w:rsid w:val="100916B0"/>
    <w:rsid w:val="101A42BE"/>
    <w:rsid w:val="109160DD"/>
    <w:rsid w:val="125963B8"/>
    <w:rsid w:val="133833D9"/>
    <w:rsid w:val="17925306"/>
    <w:rsid w:val="18FE652B"/>
    <w:rsid w:val="19467ED2"/>
    <w:rsid w:val="1A2E2E40"/>
    <w:rsid w:val="1A7A262E"/>
    <w:rsid w:val="1CD941C2"/>
    <w:rsid w:val="1D0F4C9C"/>
    <w:rsid w:val="1D5F730E"/>
    <w:rsid w:val="23BD3CAE"/>
    <w:rsid w:val="2480634F"/>
    <w:rsid w:val="24C7636B"/>
    <w:rsid w:val="263E13A5"/>
    <w:rsid w:val="27B726A2"/>
    <w:rsid w:val="2A44045E"/>
    <w:rsid w:val="305C7B56"/>
    <w:rsid w:val="30A654E7"/>
    <w:rsid w:val="318975B9"/>
    <w:rsid w:val="32EC5295"/>
    <w:rsid w:val="32FC0E62"/>
    <w:rsid w:val="34420B8C"/>
    <w:rsid w:val="34763909"/>
    <w:rsid w:val="34CA77B1"/>
    <w:rsid w:val="34D73340"/>
    <w:rsid w:val="378D6FA0"/>
    <w:rsid w:val="39980041"/>
    <w:rsid w:val="3CB754DE"/>
    <w:rsid w:val="3D170DEA"/>
    <w:rsid w:val="3DB80AEF"/>
    <w:rsid w:val="3DD24B70"/>
    <w:rsid w:val="3EA462C3"/>
    <w:rsid w:val="3EA846BF"/>
    <w:rsid w:val="3FE330B2"/>
    <w:rsid w:val="407D392A"/>
    <w:rsid w:val="40DD78D9"/>
    <w:rsid w:val="43C33132"/>
    <w:rsid w:val="44E57FE5"/>
    <w:rsid w:val="451F0EB7"/>
    <w:rsid w:val="45F44CA7"/>
    <w:rsid w:val="47B71E17"/>
    <w:rsid w:val="4B1355B6"/>
    <w:rsid w:val="4F77635D"/>
    <w:rsid w:val="504E29DF"/>
    <w:rsid w:val="50BB17B3"/>
    <w:rsid w:val="50E312B2"/>
    <w:rsid w:val="512D7AA5"/>
    <w:rsid w:val="5208505F"/>
    <w:rsid w:val="52304CA0"/>
    <w:rsid w:val="53035F10"/>
    <w:rsid w:val="5304367E"/>
    <w:rsid w:val="53432DED"/>
    <w:rsid w:val="535D7D17"/>
    <w:rsid w:val="53690E1E"/>
    <w:rsid w:val="54032364"/>
    <w:rsid w:val="563357D9"/>
    <w:rsid w:val="58D57DC2"/>
    <w:rsid w:val="5A25668B"/>
    <w:rsid w:val="5C013129"/>
    <w:rsid w:val="5FB57ECB"/>
    <w:rsid w:val="63065CD5"/>
    <w:rsid w:val="63FC2C34"/>
    <w:rsid w:val="64CA0F84"/>
    <w:rsid w:val="665E117D"/>
    <w:rsid w:val="671E7365"/>
    <w:rsid w:val="67C94DD4"/>
    <w:rsid w:val="6A7D62B1"/>
    <w:rsid w:val="6FC63396"/>
    <w:rsid w:val="70476FEF"/>
    <w:rsid w:val="706719EE"/>
    <w:rsid w:val="71E80C9B"/>
    <w:rsid w:val="72245437"/>
    <w:rsid w:val="722529ED"/>
    <w:rsid w:val="723E37DC"/>
    <w:rsid w:val="760C5C91"/>
    <w:rsid w:val="76801BF8"/>
    <w:rsid w:val="77133CA5"/>
    <w:rsid w:val="7A94154D"/>
    <w:rsid w:val="7C2926DF"/>
    <w:rsid w:val="7E6A57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1">
    <w:name w:val="Default Paragraph Font"/>
    <w:semiHidden/>
    <w:unhideWhenUsed/>
    <w:uiPriority w:val="1"/>
  </w:style>
  <w:style w:type="table" w:default="1" w:styleId="9">
    <w:name w:val="Normal Table"/>
    <w:semiHidden/>
    <w:unhideWhenUsed/>
    <w:uiPriority w:val="99"/>
    <w:tblPr>
      <w:tblCellMar>
        <w:top w:w="0" w:type="dxa"/>
        <w:left w:w="108" w:type="dxa"/>
        <w:bottom w:w="0" w:type="dxa"/>
        <w:right w:w="108" w:type="dxa"/>
      </w:tblCellMar>
    </w:tblPr>
  </w:style>
  <w:style w:type="paragraph" w:styleId="2">
    <w:name w:val="annotation text"/>
    <w:basedOn w:val="1"/>
    <w:link w:val="30"/>
    <w:qFormat/>
    <w:uiPriority w:val="0"/>
    <w:pPr>
      <w:jc w:val="left"/>
    </w:pPr>
  </w:style>
  <w:style w:type="paragraph" w:styleId="3">
    <w:name w:val="Plain Text"/>
    <w:basedOn w:val="1"/>
    <w:qFormat/>
    <w:uiPriority w:val="0"/>
    <w:rPr>
      <w:rFonts w:ascii="宋体" w:hAnsi="Courier New"/>
      <w:szCs w:val="20"/>
    </w:rPr>
  </w:style>
  <w:style w:type="paragraph" w:styleId="4">
    <w:name w:val="Balloon Text"/>
    <w:basedOn w:val="1"/>
    <w:link w:val="36"/>
    <w:uiPriority w:val="0"/>
    <w:rPr>
      <w:sz w:val="18"/>
      <w:szCs w:val="18"/>
    </w:rPr>
  </w:style>
  <w:style w:type="paragraph" w:styleId="5">
    <w:name w:val="footer"/>
    <w:basedOn w:val="1"/>
    <w:link w:val="16"/>
    <w:qFormat/>
    <w:uiPriority w:val="0"/>
    <w:pPr>
      <w:tabs>
        <w:tab w:val="center" w:pos="4153"/>
        <w:tab w:val="right" w:pos="8306"/>
      </w:tabs>
      <w:snapToGrid w:val="0"/>
      <w:jc w:val="left"/>
    </w:pPr>
    <w:rPr>
      <w:sz w:val="18"/>
      <w:szCs w:val="18"/>
    </w:rPr>
  </w:style>
  <w:style w:type="paragraph" w:styleId="6">
    <w:name w:val="header"/>
    <w:basedOn w:val="1"/>
    <w:link w:val="17"/>
    <w:qFormat/>
    <w:uiPriority w:val="0"/>
    <w:pPr>
      <w:pBdr>
        <w:bottom w:val="single" w:color="auto" w:sz="6" w:space="1"/>
      </w:pBdr>
      <w:tabs>
        <w:tab w:val="center" w:pos="4153"/>
        <w:tab w:val="right" w:pos="8306"/>
      </w:tabs>
      <w:snapToGrid w:val="0"/>
      <w:jc w:val="center"/>
    </w:pPr>
    <w:rPr>
      <w:sz w:val="18"/>
      <w:szCs w:val="18"/>
    </w:rPr>
  </w:style>
  <w:style w:type="paragraph" w:styleId="7">
    <w:name w:val="Normal (Web)"/>
    <w:basedOn w:val="1"/>
    <w:qFormat/>
    <w:uiPriority w:val="0"/>
    <w:pPr>
      <w:spacing w:beforeAutospacing="1" w:afterAutospacing="1"/>
      <w:jc w:val="left"/>
    </w:pPr>
    <w:rPr>
      <w:kern w:val="0"/>
      <w:sz w:val="24"/>
    </w:rPr>
  </w:style>
  <w:style w:type="paragraph" w:styleId="8">
    <w:name w:val="annotation subject"/>
    <w:basedOn w:val="2"/>
    <w:next w:val="2"/>
    <w:link w:val="31"/>
    <w:qFormat/>
    <w:uiPriority w:val="0"/>
    <w:rPr>
      <w:b/>
      <w:bCs/>
    </w:rPr>
  </w:style>
  <w:style w:type="table" w:styleId="10">
    <w:name w:val="Table Grid"/>
    <w:basedOn w:val="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Strong"/>
    <w:basedOn w:val="11"/>
    <w:qFormat/>
    <w:uiPriority w:val="0"/>
    <w:rPr>
      <w:b/>
    </w:rPr>
  </w:style>
  <w:style w:type="character" w:styleId="13">
    <w:name w:val="annotation reference"/>
    <w:basedOn w:val="11"/>
    <w:qFormat/>
    <w:uiPriority w:val="0"/>
    <w:rPr>
      <w:sz w:val="21"/>
      <w:szCs w:val="21"/>
    </w:rPr>
  </w:style>
  <w:style w:type="paragraph" w:customStyle="1" w:styleId="14">
    <w:name w:val="页脚1"/>
    <w:basedOn w:val="1"/>
    <w:next w:val="5"/>
    <w:link w:val="15"/>
    <w:qFormat/>
    <w:uiPriority w:val="99"/>
    <w:pPr>
      <w:tabs>
        <w:tab w:val="center" w:pos="4153"/>
        <w:tab w:val="right" w:pos="8306"/>
      </w:tabs>
      <w:snapToGrid w:val="0"/>
      <w:jc w:val="left"/>
    </w:pPr>
    <w:rPr>
      <w:rFonts w:ascii="Calibri" w:hAnsi="Calibri"/>
      <w:sz w:val="18"/>
      <w:szCs w:val="18"/>
    </w:rPr>
  </w:style>
  <w:style w:type="character" w:customStyle="1" w:styleId="15">
    <w:name w:val="页脚 字符"/>
    <w:basedOn w:val="11"/>
    <w:link w:val="14"/>
    <w:qFormat/>
    <w:uiPriority w:val="99"/>
    <w:rPr>
      <w:rFonts w:ascii="Calibri" w:hAnsi="Calibri" w:eastAsia="宋体" w:cs="Times New Roman"/>
      <w:kern w:val="2"/>
      <w:sz w:val="18"/>
      <w:szCs w:val="18"/>
    </w:rPr>
  </w:style>
  <w:style w:type="character" w:customStyle="1" w:styleId="16">
    <w:name w:val="页脚 Char"/>
    <w:basedOn w:val="11"/>
    <w:link w:val="5"/>
    <w:qFormat/>
    <w:uiPriority w:val="0"/>
    <w:rPr>
      <w:rFonts w:ascii="Times New Roman" w:hAnsi="Times New Roman" w:eastAsia="宋体" w:cs="Times New Roman"/>
      <w:kern w:val="2"/>
      <w:sz w:val="18"/>
      <w:szCs w:val="18"/>
    </w:rPr>
  </w:style>
  <w:style w:type="character" w:customStyle="1" w:styleId="17">
    <w:name w:val="页眉 Char"/>
    <w:basedOn w:val="11"/>
    <w:link w:val="6"/>
    <w:qFormat/>
    <w:uiPriority w:val="0"/>
    <w:rPr>
      <w:rFonts w:ascii="Times New Roman" w:hAnsi="Times New Roman" w:eastAsia="宋体" w:cs="Times New Roman"/>
      <w:kern w:val="2"/>
      <w:sz w:val="18"/>
      <w:szCs w:val="18"/>
    </w:rPr>
  </w:style>
  <w:style w:type="paragraph" w:customStyle="1" w:styleId="18">
    <w:name w:val="修订1"/>
    <w:hidden/>
    <w:semiHidden/>
    <w:qFormat/>
    <w:uiPriority w:val="99"/>
    <w:rPr>
      <w:rFonts w:ascii="Times New Roman" w:hAnsi="Times New Roman" w:eastAsia="宋体" w:cs="Times New Roman"/>
      <w:kern w:val="2"/>
      <w:sz w:val="21"/>
      <w:szCs w:val="24"/>
      <w:lang w:val="en-US" w:eastAsia="zh-CN" w:bidi="ar-SA"/>
    </w:rPr>
  </w:style>
  <w:style w:type="paragraph" w:customStyle="1" w:styleId="19">
    <w:name w:val="三级无"/>
    <w:basedOn w:val="20"/>
    <w:qFormat/>
    <w:uiPriority w:val="0"/>
    <w:pPr>
      <w:spacing w:before="0" w:after="0"/>
    </w:pPr>
    <w:rPr>
      <w:rFonts w:ascii="宋体" w:eastAsia="宋体"/>
    </w:rPr>
  </w:style>
  <w:style w:type="paragraph" w:customStyle="1" w:styleId="20">
    <w:name w:val="三级条标题"/>
    <w:basedOn w:val="21"/>
    <w:next w:val="1"/>
    <w:qFormat/>
    <w:uiPriority w:val="0"/>
    <w:pPr>
      <w:numPr>
        <w:ilvl w:val="3"/>
      </w:numPr>
      <w:outlineLvl w:val="4"/>
    </w:pPr>
  </w:style>
  <w:style w:type="paragraph" w:customStyle="1" w:styleId="21">
    <w:name w:val="二级条标题"/>
    <w:basedOn w:val="22"/>
    <w:next w:val="1"/>
    <w:qFormat/>
    <w:uiPriority w:val="0"/>
    <w:pPr>
      <w:numPr>
        <w:ilvl w:val="2"/>
      </w:numPr>
      <w:spacing w:before="50" w:after="50"/>
      <w:outlineLvl w:val="3"/>
    </w:pPr>
  </w:style>
  <w:style w:type="paragraph" w:customStyle="1" w:styleId="22">
    <w:name w:val="一级条标题"/>
    <w:next w:val="1"/>
    <w:qFormat/>
    <w:uiPriority w:val="0"/>
    <w:pPr>
      <w:numPr>
        <w:ilvl w:val="1"/>
        <w:numId w:val="1"/>
      </w:numPr>
      <w:spacing w:line="360" w:lineRule="auto"/>
      <w:ind w:left="0"/>
      <w:outlineLvl w:val="2"/>
    </w:pPr>
    <w:rPr>
      <w:rFonts w:ascii="黑体" w:hAnsi="黑体" w:eastAsia="黑体" w:cs="Times New Roman"/>
      <w:sz w:val="21"/>
      <w:szCs w:val="21"/>
      <w:lang w:val="en-US" w:eastAsia="zh-CN" w:bidi="ar-SA"/>
    </w:rPr>
  </w:style>
  <w:style w:type="character" w:customStyle="1" w:styleId="23">
    <w:name w:val="font01"/>
    <w:basedOn w:val="11"/>
    <w:qFormat/>
    <w:uiPriority w:val="0"/>
    <w:rPr>
      <w:rFonts w:hint="default" w:ascii="Times New Roman" w:hAnsi="Times New Roman" w:cs="Times New Roman"/>
      <w:color w:val="000000"/>
      <w:sz w:val="24"/>
      <w:szCs w:val="24"/>
      <w:u w:val="none"/>
    </w:rPr>
  </w:style>
  <w:style w:type="character" w:customStyle="1" w:styleId="24">
    <w:name w:val="font21"/>
    <w:basedOn w:val="11"/>
    <w:qFormat/>
    <w:uiPriority w:val="0"/>
    <w:rPr>
      <w:rFonts w:hint="eastAsia" w:ascii="仿宋" w:hAnsi="仿宋" w:eastAsia="仿宋" w:cs="仿宋"/>
      <w:color w:val="000000"/>
      <w:sz w:val="24"/>
      <w:szCs w:val="24"/>
      <w:u w:val="none"/>
    </w:rPr>
  </w:style>
  <w:style w:type="table" w:customStyle="1" w:styleId="25">
    <w:name w:val="网格型1"/>
    <w:basedOn w:val="9"/>
    <w:unhideWhenUsed/>
    <w:qFormat/>
    <w:uiPriority w:val="99"/>
    <w:pPr>
      <w:widowControl w:val="0"/>
      <w:jc w:val="both"/>
    </w:pPr>
    <w:rPr>
      <w:rFonts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6">
    <w:name w:val="标准文件_一级条标题"/>
    <w:basedOn w:val="27"/>
    <w:next w:val="28"/>
    <w:qFormat/>
    <w:uiPriority w:val="0"/>
    <w:pPr>
      <w:numPr>
        <w:ilvl w:val="2"/>
      </w:numPr>
      <w:spacing w:before="50" w:beforeLines="50" w:after="50" w:afterLines="50"/>
      <w:outlineLvl w:val="1"/>
    </w:pPr>
  </w:style>
  <w:style w:type="paragraph" w:customStyle="1" w:styleId="27">
    <w:name w:val="标准文件_章标题"/>
    <w:next w:val="28"/>
    <w:qFormat/>
    <w:uiPriority w:val="0"/>
    <w:pPr>
      <w:numPr>
        <w:ilvl w:val="1"/>
        <w:numId w:val="2"/>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28">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9">
    <w:name w:val="标准文件_正文表标题"/>
    <w:next w:val="28"/>
    <w:qFormat/>
    <w:uiPriority w:val="0"/>
    <w:pPr>
      <w:numPr>
        <w:ilvl w:val="0"/>
        <w:numId w:val="3"/>
      </w:numPr>
      <w:tabs>
        <w:tab w:val="left" w:pos="0"/>
      </w:tabs>
      <w:spacing w:before="50" w:beforeLines="50" w:after="50" w:afterLines="50"/>
      <w:jc w:val="center"/>
    </w:pPr>
    <w:rPr>
      <w:rFonts w:ascii="黑体" w:hAnsi="Times New Roman" w:eastAsia="黑体" w:cs="Times New Roman"/>
      <w:sz w:val="21"/>
      <w:lang w:val="en-US" w:eastAsia="zh-CN" w:bidi="ar-SA"/>
    </w:rPr>
  </w:style>
  <w:style w:type="character" w:customStyle="1" w:styleId="30">
    <w:name w:val="批注文字 Char"/>
    <w:basedOn w:val="11"/>
    <w:link w:val="2"/>
    <w:qFormat/>
    <w:uiPriority w:val="0"/>
    <w:rPr>
      <w:rFonts w:ascii="Times New Roman" w:hAnsi="Times New Roman" w:eastAsia="宋体" w:cs="Times New Roman"/>
      <w:kern w:val="2"/>
      <w:sz w:val="21"/>
      <w:szCs w:val="24"/>
    </w:rPr>
  </w:style>
  <w:style w:type="character" w:customStyle="1" w:styleId="31">
    <w:name w:val="批注主题 Char"/>
    <w:basedOn w:val="30"/>
    <w:link w:val="8"/>
    <w:qFormat/>
    <w:uiPriority w:val="0"/>
    <w:rPr>
      <w:rFonts w:ascii="Times New Roman" w:hAnsi="Times New Roman" w:eastAsia="宋体" w:cs="Times New Roman"/>
      <w:b/>
      <w:bCs/>
      <w:kern w:val="2"/>
      <w:sz w:val="21"/>
      <w:szCs w:val="24"/>
    </w:rPr>
  </w:style>
  <w:style w:type="paragraph" w:customStyle="1" w:styleId="32">
    <w:name w:val="标准文件_附录标识"/>
    <w:basedOn w:val="1"/>
    <w:next w:val="1"/>
    <w:uiPriority w:val="0"/>
    <w:pPr>
      <w:widowControl/>
      <w:numPr>
        <w:ilvl w:val="0"/>
        <w:numId w:val="4"/>
      </w:numPr>
      <w:shd w:val="clear" w:color="auto" w:fill="FFFFFF"/>
      <w:tabs>
        <w:tab w:val="left" w:pos="6406"/>
      </w:tabs>
      <w:spacing w:before="560" w:after="50" w:afterLines="50"/>
      <w:jc w:val="center"/>
      <w:outlineLvl w:val="0"/>
    </w:pPr>
    <w:rPr>
      <w:rFonts w:hint="eastAsia" w:ascii="黑体" w:eastAsia="黑体"/>
      <w:kern w:val="0"/>
      <w:szCs w:val="20"/>
    </w:rPr>
  </w:style>
  <w:style w:type="paragraph" w:customStyle="1" w:styleId="33">
    <w:name w:val="标准文件_附录表标题"/>
    <w:basedOn w:val="1"/>
    <w:next w:val="1"/>
    <w:uiPriority w:val="0"/>
    <w:pPr>
      <w:widowControl/>
      <w:numPr>
        <w:ilvl w:val="1"/>
        <w:numId w:val="5"/>
      </w:numPr>
      <w:adjustRightInd w:val="0"/>
      <w:snapToGrid w:val="0"/>
      <w:spacing w:before="50" w:beforeLines="50" w:after="50" w:afterLines="50"/>
      <w:jc w:val="center"/>
    </w:pPr>
    <w:rPr>
      <w:rFonts w:hint="eastAsia" w:ascii="黑体" w:eastAsia="黑体"/>
      <w:kern w:val="21"/>
      <w:szCs w:val="20"/>
    </w:rPr>
  </w:style>
  <w:style w:type="character" w:customStyle="1" w:styleId="34">
    <w:name w:val="font31"/>
    <w:basedOn w:val="11"/>
    <w:qFormat/>
    <w:uiPriority w:val="0"/>
    <w:rPr>
      <w:rFonts w:hint="eastAsia" w:ascii="微软雅黑" w:hAnsi="微软雅黑" w:eastAsia="微软雅黑" w:cs="微软雅黑"/>
      <w:color w:val="000000"/>
      <w:sz w:val="20"/>
      <w:szCs w:val="20"/>
      <w:u w:val="none"/>
      <w:vertAlign w:val="superscript"/>
    </w:rPr>
  </w:style>
  <w:style w:type="character" w:customStyle="1" w:styleId="35">
    <w:name w:val="font41"/>
    <w:basedOn w:val="11"/>
    <w:qFormat/>
    <w:uiPriority w:val="0"/>
    <w:rPr>
      <w:rFonts w:hint="eastAsia" w:ascii="微软雅黑" w:hAnsi="微软雅黑" w:eastAsia="微软雅黑" w:cs="微软雅黑"/>
      <w:color w:val="000000"/>
      <w:sz w:val="20"/>
      <w:szCs w:val="20"/>
      <w:u w:val="none"/>
      <w:vertAlign w:val="subscript"/>
    </w:rPr>
  </w:style>
  <w:style w:type="character" w:customStyle="1" w:styleId="36">
    <w:name w:val="批注框文本 Char"/>
    <w:basedOn w:val="11"/>
    <w:link w:val="4"/>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Microsoft</Company>
  <Pages>31</Pages>
  <Words>2924</Words>
  <Characters>2987</Characters>
  <Lines>137</Lines>
  <Paragraphs>38</Paragraphs>
  <TotalTime>7</TotalTime>
  <ScaleCrop>false</ScaleCrop>
  <LinksUpToDate>false</LinksUpToDate>
  <CharactersWithSpaces>3023</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2025-05-30T07:33:00Z</dcterms:created>
  <dc:creator>潘创-499</dc:creator>
  <cp:lastModifiedBy>蔡文启</cp:lastModifiedBy>
  <dcterms:modified xsi:type="dcterms:W3CDTF">2025-08-12T07:20:25Z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D9E2975D0BBD4575993F41597E627A2B_13</vt:lpwstr>
  </property>
  <property fmtid="{D5CDD505-2E9C-101B-9397-08002B2CF9AE}" pid="4" name="KSOTemplateDocerSaveRecord">
    <vt:lpwstr>eyJoZGlkIjoiZmFjM2M5OWI0ZGVjMGQ4NmRmNjI5MzQyNDY5ZWZhNGYiLCJ1c2VySWQiOiIyMzYwOTYxMzcifQ==</vt:lpwstr>
  </property>
</Properties>
</file>